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2.xml" ContentType="application/vnd.openxmlformats-officedocument.wordprocessingml.footer+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67"/>
      </w:tblGrid>
      <w:tr w:rsidR="00107E93" w:rsidRPr="003A067A" w14:paraId="13F41F8F" w14:textId="77777777" w:rsidTr="004B7E20">
        <w:tc>
          <w:tcPr>
            <w:tcW w:w="9067" w:type="dxa"/>
            <w:shd w:val="clear" w:color="auto" w:fill="auto"/>
            <w:tcMar>
              <w:top w:w="57" w:type="dxa"/>
              <w:bottom w:w="57" w:type="dxa"/>
            </w:tcMar>
            <w:vAlign w:val="center"/>
          </w:tcPr>
          <w:p w14:paraId="29E36706" w14:textId="77777777" w:rsidR="00107E93" w:rsidRPr="003A067A" w:rsidRDefault="00107E93" w:rsidP="004B7E20">
            <w:pPr>
              <w:spacing w:after="0" w:line="240" w:lineRule="auto"/>
              <w:rPr>
                <w:b/>
                <w:bCs/>
              </w:rPr>
            </w:pPr>
            <w:r w:rsidRPr="003A067A">
              <w:rPr>
                <w:b/>
                <w:bCs/>
              </w:rPr>
              <w:t>Before</w:t>
            </w:r>
          </w:p>
        </w:tc>
      </w:tr>
      <w:tr w:rsidR="00107E93" w:rsidRPr="00697424" w14:paraId="0DF2BB88" w14:textId="77777777" w:rsidTr="004B7E20">
        <w:trPr>
          <w:trHeight w:val="4379"/>
        </w:trPr>
        <w:tc>
          <w:tcPr>
            <w:tcW w:w="9067" w:type="dxa"/>
            <w:shd w:val="clear" w:color="auto" w:fill="auto"/>
            <w:tcMar>
              <w:top w:w="57" w:type="dxa"/>
              <w:bottom w:w="57" w:type="dxa"/>
            </w:tcMar>
            <w:vAlign w:val="center"/>
          </w:tcPr>
          <w:p w14:paraId="176B6447" w14:textId="77777777" w:rsidR="00107E93" w:rsidRPr="00697424" w:rsidRDefault="00107E93" w:rsidP="004B7E20">
            <w:pPr>
              <w:spacing w:after="0" w:line="240" w:lineRule="auto"/>
              <w:jc w:val="center"/>
              <w:rPr>
                <w:rFonts w:ascii="Arial" w:hAnsi="Arial" w:cs="Arial"/>
                <w:sz w:val="20"/>
                <w:szCs w:val="20"/>
              </w:rPr>
            </w:pPr>
            <w:r>
              <w:rPr>
                <w:rFonts w:ascii="Arial" w:hAnsi="Arial" w:cs="Arial"/>
                <w:noProof/>
                <w:sz w:val="20"/>
                <w:szCs w:val="20"/>
              </w:rPr>
              <w:drawing>
                <wp:inline distT="0" distB="0" distL="0" distR="0" wp14:anchorId="3B9E4F84" wp14:editId="435D3CD1">
                  <wp:extent cx="4572241" cy="3327990"/>
                  <wp:effectExtent l="0" t="0" r="0" b="6350"/>
                  <wp:docPr id="47" name="Picture 4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84864" cy="3337178"/>
                          </a:xfrm>
                          <a:prstGeom prst="rect">
                            <a:avLst/>
                          </a:prstGeom>
                          <a:noFill/>
                        </pic:spPr>
                      </pic:pic>
                    </a:graphicData>
                  </a:graphic>
                </wp:inline>
              </w:drawing>
            </w:r>
          </w:p>
        </w:tc>
      </w:tr>
      <w:tr w:rsidR="00107E93" w:rsidRPr="003A067A" w14:paraId="0CF9B954" w14:textId="77777777" w:rsidTr="004B7E20">
        <w:tc>
          <w:tcPr>
            <w:tcW w:w="9067" w:type="dxa"/>
            <w:shd w:val="clear" w:color="auto" w:fill="auto"/>
            <w:tcMar>
              <w:top w:w="57" w:type="dxa"/>
              <w:bottom w:w="57" w:type="dxa"/>
            </w:tcMar>
            <w:vAlign w:val="center"/>
          </w:tcPr>
          <w:p w14:paraId="34110BAD" w14:textId="77777777" w:rsidR="00107E93" w:rsidRPr="003A067A" w:rsidRDefault="00107E93" w:rsidP="004B7E20">
            <w:pPr>
              <w:spacing w:after="0" w:line="240" w:lineRule="auto"/>
              <w:rPr>
                <w:b/>
                <w:bCs/>
                <w:noProof/>
                <w:lang w:eastAsia="en-GB"/>
              </w:rPr>
            </w:pPr>
            <w:r w:rsidRPr="003A067A">
              <w:rPr>
                <w:b/>
                <w:bCs/>
              </w:rPr>
              <w:t>After</w:t>
            </w:r>
          </w:p>
        </w:tc>
      </w:tr>
      <w:tr w:rsidR="00107E93" w:rsidRPr="00697424" w14:paraId="47D1741A" w14:textId="77777777" w:rsidTr="004B7E20">
        <w:trPr>
          <w:trHeight w:val="4379"/>
        </w:trPr>
        <w:tc>
          <w:tcPr>
            <w:tcW w:w="9067" w:type="dxa"/>
            <w:shd w:val="clear" w:color="auto" w:fill="auto"/>
            <w:tcMar>
              <w:top w:w="57" w:type="dxa"/>
              <w:bottom w:w="57" w:type="dxa"/>
            </w:tcMar>
            <w:vAlign w:val="center"/>
          </w:tcPr>
          <w:p w14:paraId="634777F2" w14:textId="77777777" w:rsidR="00107E93" w:rsidRPr="00AE33F3" w:rsidRDefault="00107E93" w:rsidP="004B7E20">
            <w:pPr>
              <w:spacing w:after="0" w:line="240" w:lineRule="auto"/>
              <w:jc w:val="center"/>
              <w:rPr>
                <w:noProof/>
                <w:lang w:eastAsia="en-GB"/>
              </w:rPr>
            </w:pPr>
            <w:r>
              <w:rPr>
                <w:noProof/>
                <w:lang w:eastAsia="en-GB"/>
              </w:rPr>
              <w:drawing>
                <wp:inline distT="0" distB="0" distL="0" distR="0" wp14:anchorId="6AF2EACD" wp14:editId="0426A241">
                  <wp:extent cx="4529470" cy="3297198"/>
                  <wp:effectExtent l="0" t="0" r="4445" b="0"/>
                  <wp:docPr id="48" name="Picture 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64308" cy="3322558"/>
                          </a:xfrm>
                          <a:prstGeom prst="rect">
                            <a:avLst/>
                          </a:prstGeom>
                          <a:noFill/>
                        </pic:spPr>
                      </pic:pic>
                    </a:graphicData>
                  </a:graphic>
                </wp:inline>
              </w:drawing>
            </w:r>
          </w:p>
        </w:tc>
      </w:tr>
    </w:tbl>
    <w:p w14:paraId="495FE695" w14:textId="77777777" w:rsidR="00107E93" w:rsidRDefault="00107E93" w:rsidP="00107E93">
      <w:pPr>
        <w:pStyle w:val="Figure"/>
      </w:pPr>
      <w:bookmarkStart w:id="0" w:name="_Toc90545608"/>
      <w:bookmarkStart w:id="1" w:name="_Toc87526842"/>
      <w:r>
        <w:t xml:space="preserve">Organisation of specialist cancer surgery, </w:t>
      </w:r>
      <w:r>
        <w:rPr>
          <w:lang w:val="en-GB"/>
        </w:rPr>
        <w:t>pre and post planned</w:t>
      </w:r>
      <w:r>
        <w:t xml:space="preserve"> change</w:t>
      </w:r>
      <w:r>
        <w:rPr>
          <w:lang w:val="en-GB"/>
        </w:rPr>
        <w:t>s</w:t>
      </w:r>
      <w:bookmarkEnd w:id="0"/>
      <w:bookmarkEnd w:id="1"/>
    </w:p>
    <w:p w14:paraId="370AAB03" w14:textId="6F49A008" w:rsidR="001C466C" w:rsidRDefault="001C466C" w:rsidP="00107E93">
      <w:pPr>
        <w:rPr>
          <w:sz w:val="20"/>
          <w:szCs w:val="18"/>
        </w:rPr>
        <w:sectPr w:rsidR="001C466C" w:rsidSect="001C466C">
          <w:footerReference w:type="default" r:id="rId13"/>
          <w:pgSz w:w="11906" w:h="16838"/>
          <w:pgMar w:top="1440" w:right="1440" w:bottom="1440" w:left="1440" w:header="708" w:footer="708" w:gutter="0"/>
          <w:cols w:space="708"/>
          <w:docGrid w:linePitch="360"/>
        </w:sectPr>
      </w:pPr>
    </w:p>
    <w:p w14:paraId="7F1DB37F" w14:textId="15D79ED7" w:rsidR="00107E93" w:rsidRDefault="00107E93" w:rsidP="00107E93"/>
    <w:p w14:paraId="2874A1FE" w14:textId="77777777" w:rsidR="00B66DB3" w:rsidRDefault="00B66DB3" w:rsidP="00B66DB3">
      <w:r>
        <w:rPr>
          <w:noProof/>
        </w:rPr>
        <w:drawing>
          <wp:inline distT="0" distB="0" distL="0" distR="0" wp14:anchorId="46D9614E" wp14:editId="1C76C18F">
            <wp:extent cx="6423978" cy="4412512"/>
            <wp:effectExtent l="0" t="0" r="0" b="7620"/>
            <wp:docPr id="44" name="Picture 4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imelin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1034" cy="4437965"/>
                    </a:xfrm>
                    <a:prstGeom prst="rect">
                      <a:avLst/>
                    </a:prstGeom>
                    <a:noFill/>
                  </pic:spPr>
                </pic:pic>
              </a:graphicData>
            </a:graphic>
          </wp:inline>
        </w:drawing>
      </w:r>
    </w:p>
    <w:p w14:paraId="1D775CA0" w14:textId="77777777" w:rsidR="00B66DB3" w:rsidRPr="00D705F5" w:rsidRDefault="00B66DB3" w:rsidP="00B66DB3">
      <w:pPr>
        <w:pStyle w:val="Figure"/>
      </w:pPr>
      <w:bookmarkStart w:id="2" w:name="_Toc90545609"/>
      <w:bookmarkStart w:id="3" w:name="_Toc87526843"/>
      <w:r>
        <w:rPr>
          <w:lang w:val="en-GB"/>
        </w:rPr>
        <w:t>Framework</w:t>
      </w:r>
      <w:r w:rsidRPr="00697424">
        <w:t xml:space="preserve"> for analysing </w:t>
      </w:r>
      <w:r>
        <w:rPr>
          <w:lang w:val="en-GB"/>
        </w:rPr>
        <w:t>MSC, adapted for RESPECT-21</w:t>
      </w:r>
      <w:bookmarkEnd w:id="2"/>
      <w:bookmarkEnd w:id="3"/>
    </w:p>
    <w:p w14:paraId="50D602F3" w14:textId="77777777" w:rsidR="00B66DB3" w:rsidRDefault="00B66DB3" w:rsidP="00B66DB3">
      <w:pPr>
        <w:sectPr w:rsidR="00B66DB3" w:rsidSect="00AB65D6">
          <w:pgSz w:w="16838" w:h="11906" w:orient="landscape"/>
          <w:pgMar w:top="1440" w:right="1440" w:bottom="1440" w:left="1440" w:header="708" w:footer="708" w:gutter="0"/>
          <w:cols w:space="708"/>
          <w:docGrid w:linePitch="360"/>
        </w:sectPr>
      </w:pPr>
    </w:p>
    <w:p w14:paraId="178C4A04" w14:textId="77777777" w:rsidR="00B66DB3" w:rsidRDefault="00B66DB3" w:rsidP="00B66DB3">
      <w:pPr>
        <w:pStyle w:val="Figure"/>
        <w:numPr>
          <w:ilvl w:val="0"/>
          <w:numId w:val="0"/>
        </w:numPr>
      </w:pPr>
    </w:p>
    <w:p w14:paraId="7C003ECF" w14:textId="77777777" w:rsidR="00B66DB3" w:rsidRDefault="00B66DB3" w:rsidP="00B66DB3">
      <w:r>
        <w:rPr>
          <w:noProof/>
          <w:lang w:val="en-US"/>
        </w:rPr>
        <w:drawing>
          <wp:inline distT="0" distB="0" distL="0" distR="0" wp14:anchorId="12EC44B9" wp14:editId="0D152269">
            <wp:extent cx="8832882" cy="4686300"/>
            <wp:effectExtent l="0" t="0" r="6350" b="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880071" cy="4711336"/>
                    </a:xfrm>
                    <a:prstGeom prst="rect">
                      <a:avLst/>
                    </a:prstGeom>
                    <a:noFill/>
                  </pic:spPr>
                </pic:pic>
              </a:graphicData>
            </a:graphic>
          </wp:inline>
        </w:drawing>
      </w:r>
    </w:p>
    <w:p w14:paraId="307696B8" w14:textId="77777777" w:rsidR="00B66DB3" w:rsidRDefault="00B66DB3" w:rsidP="00B66DB3">
      <w:pPr>
        <w:pStyle w:val="Figure"/>
      </w:pPr>
      <w:bookmarkStart w:id="4" w:name="_Toc90545610"/>
      <w:bookmarkStart w:id="5" w:name="_Toc87526844"/>
      <w:r>
        <w:t>Sampling for qualitative research</w:t>
      </w:r>
      <w:bookmarkEnd w:id="4"/>
      <w:bookmarkEnd w:id="5"/>
    </w:p>
    <w:p w14:paraId="5080CCB6" w14:textId="77777777" w:rsidR="00B66DB3" w:rsidRDefault="00B66DB3" w:rsidP="00B66DB3">
      <w:pPr>
        <w:sectPr w:rsidR="00B66DB3" w:rsidSect="00462BA2">
          <w:pgSz w:w="16838" w:h="11906" w:orient="landscape"/>
          <w:pgMar w:top="1440" w:right="1440" w:bottom="1440" w:left="1440" w:header="708" w:footer="708" w:gutter="0"/>
          <w:cols w:space="708"/>
          <w:docGrid w:linePitch="360"/>
        </w:sect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606"/>
      </w:tblGrid>
      <w:tr w:rsidR="00B66DB3" w:rsidRPr="000A1E7D" w14:paraId="2AAF4B62" w14:textId="77777777" w:rsidTr="004B7E20">
        <w:trPr>
          <w:trHeight w:val="4433"/>
        </w:trPr>
        <w:tc>
          <w:tcPr>
            <w:tcW w:w="9606" w:type="dxa"/>
            <w:tcBorders>
              <w:top w:val="single" w:sz="12" w:space="0" w:color="auto"/>
              <w:bottom w:val="single" w:sz="12" w:space="0" w:color="auto"/>
            </w:tcBorders>
          </w:tcPr>
          <w:p w14:paraId="4F73EC6C" w14:textId="77777777" w:rsidR="00B66DB3" w:rsidRPr="000A1E7D" w:rsidRDefault="00B66DB3" w:rsidP="00B66DB3">
            <w:pPr>
              <w:numPr>
                <w:ilvl w:val="0"/>
                <w:numId w:val="10"/>
              </w:numPr>
              <w:spacing w:after="0"/>
              <w:rPr>
                <w:bCs/>
                <w:i/>
                <w:color w:val="000000"/>
              </w:rPr>
            </w:pPr>
            <w:r w:rsidRPr="000A1E7D">
              <w:rPr>
                <w:bCs/>
                <w:i/>
                <w:color w:val="000000"/>
              </w:rPr>
              <w:lastRenderedPageBreak/>
              <w:t>Attributes and levels used in the DCE</w:t>
            </w:r>
          </w:p>
          <w:tbl>
            <w:tblPr>
              <w:tblW w:w="9081" w:type="dxa"/>
              <w:tblInd w:w="5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4410"/>
              <w:gridCol w:w="1417"/>
              <w:gridCol w:w="1201"/>
              <w:gridCol w:w="1134"/>
              <w:gridCol w:w="919"/>
            </w:tblGrid>
            <w:tr w:rsidR="00B66DB3" w:rsidRPr="000A1E7D" w14:paraId="19E589F4" w14:textId="77777777" w:rsidTr="004B7E20">
              <w:trPr>
                <w:trHeight w:val="255"/>
              </w:trPr>
              <w:tc>
                <w:tcPr>
                  <w:tcW w:w="4410" w:type="dxa"/>
                  <w:tcBorders>
                    <w:top w:val="single" w:sz="4" w:space="0" w:color="auto"/>
                    <w:bottom w:val="single" w:sz="4" w:space="0" w:color="auto"/>
                    <w:right w:val="single" w:sz="4" w:space="0" w:color="auto"/>
                  </w:tcBorders>
                  <w:shd w:val="clear" w:color="auto" w:fill="auto"/>
                  <w:vAlign w:val="bottom"/>
                  <w:hideMark/>
                </w:tcPr>
                <w:p w14:paraId="2D41CBD2" w14:textId="77777777" w:rsidR="00B66DB3" w:rsidRPr="000A1E7D" w:rsidRDefault="00B66DB3" w:rsidP="004B7E20">
                  <w:pPr>
                    <w:spacing w:after="0" w:line="240" w:lineRule="auto"/>
                    <w:rPr>
                      <w:bCs/>
                      <w:sz w:val="20"/>
                      <w:szCs w:val="18"/>
                      <w:lang w:eastAsia="es-ES"/>
                    </w:rPr>
                  </w:pPr>
                  <w:r w:rsidRPr="000A1E7D">
                    <w:rPr>
                      <w:bCs/>
                      <w:sz w:val="20"/>
                      <w:szCs w:val="18"/>
                      <w:lang w:eastAsia="es-ES"/>
                    </w:rPr>
                    <w:t>Attribute</w:t>
                  </w:r>
                </w:p>
              </w:tc>
              <w:tc>
                <w:tcPr>
                  <w:tcW w:w="4671"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14:paraId="5034EFEF" w14:textId="77777777" w:rsidR="00B66DB3" w:rsidRPr="000A1E7D" w:rsidRDefault="00B66DB3" w:rsidP="004B7E20">
                  <w:pPr>
                    <w:spacing w:after="0" w:line="240" w:lineRule="auto"/>
                    <w:jc w:val="center"/>
                    <w:rPr>
                      <w:bCs/>
                      <w:sz w:val="20"/>
                      <w:szCs w:val="18"/>
                      <w:lang w:eastAsia="es-ES"/>
                    </w:rPr>
                  </w:pPr>
                  <w:r w:rsidRPr="000A1E7D">
                    <w:rPr>
                      <w:bCs/>
                      <w:sz w:val="20"/>
                      <w:szCs w:val="18"/>
                      <w:lang w:eastAsia="es-ES"/>
                    </w:rPr>
                    <w:t>Level</w:t>
                  </w:r>
                </w:p>
              </w:tc>
            </w:tr>
            <w:tr w:rsidR="00B66DB3" w:rsidRPr="000A1E7D" w14:paraId="7095B9BD" w14:textId="77777777" w:rsidTr="004B7E20">
              <w:trPr>
                <w:trHeight w:val="421"/>
              </w:trPr>
              <w:tc>
                <w:tcPr>
                  <w:tcW w:w="4410" w:type="dxa"/>
                  <w:tcBorders>
                    <w:top w:val="single" w:sz="4" w:space="0" w:color="auto"/>
                    <w:bottom w:val="single" w:sz="4" w:space="0" w:color="auto"/>
                    <w:right w:val="single" w:sz="4" w:space="0" w:color="auto"/>
                  </w:tcBorders>
                  <w:shd w:val="clear" w:color="auto" w:fill="auto"/>
                  <w:vAlign w:val="center"/>
                  <w:hideMark/>
                </w:tcPr>
                <w:p w14:paraId="15EA1F39" w14:textId="77777777" w:rsidR="00B66DB3" w:rsidRPr="000A1E7D" w:rsidRDefault="00B66DB3" w:rsidP="004B7E20">
                  <w:pPr>
                    <w:spacing w:after="0" w:line="240" w:lineRule="auto"/>
                    <w:rPr>
                      <w:bCs/>
                      <w:sz w:val="20"/>
                      <w:szCs w:val="18"/>
                      <w:lang w:eastAsia="es-ES"/>
                    </w:rPr>
                  </w:pPr>
                  <w:r w:rsidRPr="000A1E7D">
                    <w:rPr>
                      <w:bCs/>
                      <w:sz w:val="20"/>
                      <w:szCs w:val="18"/>
                      <w:lang w:eastAsia="es-ES"/>
                    </w:rPr>
                    <w:t>Travel time to the hospital to have surgery</w:t>
                  </w:r>
                </w:p>
              </w:tc>
              <w:tc>
                <w:tcPr>
                  <w:tcW w:w="1417" w:type="dxa"/>
                  <w:tcBorders>
                    <w:top w:val="single" w:sz="4" w:space="0" w:color="auto"/>
                    <w:left w:val="single" w:sz="4" w:space="0" w:color="auto"/>
                    <w:right w:val="single" w:sz="4" w:space="0" w:color="auto"/>
                  </w:tcBorders>
                  <w:shd w:val="clear" w:color="auto" w:fill="auto"/>
                  <w:vAlign w:val="center"/>
                  <w:hideMark/>
                </w:tcPr>
                <w:p w14:paraId="51BC8F6B"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Up to 30 </w:t>
                  </w:r>
                </w:p>
                <w:p w14:paraId="49D6E12D" w14:textId="77777777" w:rsidR="00B66DB3" w:rsidRPr="000A1E7D" w:rsidRDefault="00B66DB3" w:rsidP="004B7E20">
                  <w:pPr>
                    <w:spacing w:after="0" w:line="240" w:lineRule="auto"/>
                    <w:rPr>
                      <w:bCs/>
                      <w:sz w:val="20"/>
                      <w:szCs w:val="18"/>
                      <w:lang w:eastAsia="es-ES"/>
                    </w:rPr>
                  </w:pPr>
                  <w:r w:rsidRPr="000A1E7D">
                    <w:rPr>
                      <w:bCs/>
                      <w:sz w:val="20"/>
                      <w:szCs w:val="18"/>
                      <w:lang w:eastAsia="es-ES"/>
                    </w:rPr>
                    <w:t>minutes</w:t>
                  </w:r>
                </w:p>
              </w:tc>
              <w:tc>
                <w:tcPr>
                  <w:tcW w:w="1201" w:type="dxa"/>
                  <w:tcBorders>
                    <w:top w:val="single" w:sz="4" w:space="0" w:color="auto"/>
                    <w:left w:val="single" w:sz="4" w:space="0" w:color="auto"/>
                    <w:right w:val="single" w:sz="4" w:space="0" w:color="auto"/>
                  </w:tcBorders>
                  <w:shd w:val="clear" w:color="auto" w:fill="auto"/>
                  <w:vAlign w:val="center"/>
                </w:tcPr>
                <w:p w14:paraId="53894500" w14:textId="77777777" w:rsidR="00B66DB3" w:rsidRPr="000A1E7D" w:rsidRDefault="00B66DB3" w:rsidP="004B7E20">
                  <w:pPr>
                    <w:spacing w:after="0" w:line="240" w:lineRule="auto"/>
                    <w:rPr>
                      <w:bCs/>
                      <w:sz w:val="20"/>
                      <w:szCs w:val="18"/>
                      <w:lang w:eastAsia="es-ES"/>
                    </w:rPr>
                  </w:pPr>
                  <w:r w:rsidRPr="000A1E7D">
                    <w:rPr>
                      <w:bCs/>
                      <w:sz w:val="20"/>
                      <w:szCs w:val="18"/>
                      <w:lang w:eastAsia="es-ES"/>
                    </w:rPr>
                    <w:t>Between 30-60 minutes</w:t>
                  </w:r>
                </w:p>
              </w:tc>
              <w:tc>
                <w:tcPr>
                  <w:tcW w:w="1134" w:type="dxa"/>
                  <w:tcBorders>
                    <w:top w:val="single" w:sz="4" w:space="0" w:color="auto"/>
                    <w:left w:val="single" w:sz="4" w:space="0" w:color="auto"/>
                    <w:right w:val="single" w:sz="4" w:space="0" w:color="auto"/>
                  </w:tcBorders>
                  <w:shd w:val="clear" w:color="auto" w:fill="auto"/>
                  <w:vAlign w:val="center"/>
                </w:tcPr>
                <w:p w14:paraId="5429000B"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Between 60-90 minutes </w:t>
                  </w:r>
                </w:p>
              </w:tc>
              <w:tc>
                <w:tcPr>
                  <w:tcW w:w="919" w:type="dxa"/>
                  <w:tcBorders>
                    <w:top w:val="single" w:sz="4" w:space="0" w:color="auto"/>
                    <w:left w:val="single" w:sz="4" w:space="0" w:color="auto"/>
                    <w:right w:val="single" w:sz="4" w:space="0" w:color="auto"/>
                  </w:tcBorders>
                  <w:shd w:val="clear" w:color="auto" w:fill="auto"/>
                  <w:vAlign w:val="center"/>
                </w:tcPr>
                <w:p w14:paraId="43F3872E" w14:textId="77777777" w:rsidR="00B66DB3" w:rsidRPr="000A1E7D" w:rsidRDefault="00B66DB3" w:rsidP="004B7E20">
                  <w:pPr>
                    <w:spacing w:after="0" w:line="240" w:lineRule="auto"/>
                    <w:rPr>
                      <w:bCs/>
                      <w:sz w:val="20"/>
                      <w:szCs w:val="18"/>
                      <w:lang w:eastAsia="es-ES"/>
                    </w:rPr>
                  </w:pPr>
                  <w:r w:rsidRPr="000A1E7D">
                    <w:rPr>
                      <w:bCs/>
                      <w:sz w:val="20"/>
                      <w:szCs w:val="18"/>
                      <w:lang w:eastAsia="es-ES"/>
                    </w:rPr>
                    <w:t>Between 90-120 minutes</w:t>
                  </w:r>
                </w:p>
              </w:tc>
            </w:tr>
            <w:tr w:rsidR="00B66DB3" w:rsidRPr="000A1E7D" w14:paraId="04FDBDCC" w14:textId="77777777" w:rsidTr="004B7E20">
              <w:trPr>
                <w:trHeight w:val="426"/>
              </w:trPr>
              <w:tc>
                <w:tcPr>
                  <w:tcW w:w="4410" w:type="dxa"/>
                  <w:tcBorders>
                    <w:top w:val="single" w:sz="4" w:space="0" w:color="auto"/>
                    <w:bottom w:val="single" w:sz="4" w:space="0" w:color="auto"/>
                    <w:right w:val="single" w:sz="4" w:space="0" w:color="auto"/>
                  </w:tcBorders>
                  <w:shd w:val="clear" w:color="auto" w:fill="auto"/>
                  <w:vAlign w:val="center"/>
                  <w:hideMark/>
                </w:tcPr>
                <w:p w14:paraId="3B03732F" w14:textId="77777777" w:rsidR="00B66DB3" w:rsidRPr="000A1E7D" w:rsidRDefault="00B66DB3" w:rsidP="004B7E20">
                  <w:pPr>
                    <w:spacing w:after="0" w:line="240" w:lineRule="auto"/>
                    <w:rPr>
                      <w:bCs/>
                      <w:sz w:val="20"/>
                      <w:szCs w:val="18"/>
                      <w:lang w:eastAsia="es-ES"/>
                    </w:rPr>
                  </w:pPr>
                  <w:r w:rsidRPr="000A1E7D">
                    <w:rPr>
                      <w:bCs/>
                      <w:sz w:val="20"/>
                      <w:szCs w:val="18"/>
                      <w:lang w:eastAsia="es-ES"/>
                    </w:rPr>
                    <w:t>Risk of serious complications from surgery</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69EBB" w14:textId="77777777" w:rsidR="00B66DB3" w:rsidRPr="000A1E7D" w:rsidRDefault="00B66DB3" w:rsidP="004B7E20">
                  <w:pPr>
                    <w:spacing w:after="0" w:line="240" w:lineRule="auto"/>
                    <w:rPr>
                      <w:bCs/>
                      <w:sz w:val="20"/>
                      <w:szCs w:val="18"/>
                      <w:lang w:eastAsia="es-ES"/>
                    </w:rPr>
                  </w:pPr>
                  <w:r w:rsidRPr="000A1E7D">
                    <w:rPr>
                      <w:bCs/>
                      <w:sz w:val="20"/>
                      <w:szCs w:val="18"/>
                      <w:lang w:eastAsia="es-ES"/>
                    </w:rPr>
                    <w:t>1%</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11E41872" w14:textId="77777777" w:rsidR="00B66DB3" w:rsidRPr="000A1E7D" w:rsidRDefault="00B66DB3" w:rsidP="004B7E20">
                  <w:pPr>
                    <w:spacing w:after="0" w:line="240" w:lineRule="auto"/>
                    <w:rPr>
                      <w:bCs/>
                      <w:sz w:val="20"/>
                      <w:szCs w:val="18"/>
                      <w:lang w:eastAsia="es-ES"/>
                    </w:rPr>
                  </w:pPr>
                  <w:r w:rsidRPr="000A1E7D">
                    <w:rPr>
                      <w:bCs/>
                      <w:sz w:val="20"/>
                      <w:szCs w:val="18"/>
                      <w:lang w:eastAsia="es-ES"/>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68A7CD7"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39E4437C" w14:textId="77777777" w:rsidR="00B66DB3" w:rsidRPr="000A1E7D" w:rsidRDefault="00B66DB3" w:rsidP="004B7E20">
                  <w:pPr>
                    <w:spacing w:after="0" w:line="240" w:lineRule="auto"/>
                    <w:rPr>
                      <w:bCs/>
                      <w:sz w:val="20"/>
                      <w:szCs w:val="18"/>
                      <w:lang w:eastAsia="es-ES"/>
                    </w:rPr>
                  </w:pPr>
                </w:p>
              </w:tc>
            </w:tr>
            <w:tr w:rsidR="00B66DB3" w:rsidRPr="000A1E7D" w14:paraId="1F91BAE2" w14:textId="77777777" w:rsidTr="004B7E20">
              <w:trPr>
                <w:trHeight w:val="475"/>
              </w:trPr>
              <w:tc>
                <w:tcPr>
                  <w:tcW w:w="4410" w:type="dxa"/>
                  <w:tcBorders>
                    <w:top w:val="single" w:sz="4" w:space="0" w:color="auto"/>
                    <w:bottom w:val="single" w:sz="4" w:space="0" w:color="auto"/>
                    <w:right w:val="single" w:sz="4" w:space="0" w:color="auto"/>
                  </w:tcBorders>
                  <w:shd w:val="clear" w:color="auto" w:fill="auto"/>
                  <w:vAlign w:val="center"/>
                  <w:hideMark/>
                </w:tcPr>
                <w:p w14:paraId="1566F51B" w14:textId="77777777" w:rsidR="00B66DB3" w:rsidRPr="000A1E7D" w:rsidRDefault="00B66DB3" w:rsidP="004B7E20">
                  <w:pPr>
                    <w:spacing w:after="0" w:line="240" w:lineRule="auto"/>
                    <w:rPr>
                      <w:bCs/>
                      <w:sz w:val="20"/>
                      <w:szCs w:val="18"/>
                      <w:lang w:eastAsia="es-ES"/>
                    </w:rPr>
                  </w:pPr>
                  <w:r w:rsidRPr="000A1E7D">
                    <w:rPr>
                      <w:bCs/>
                      <w:sz w:val="20"/>
                      <w:szCs w:val="18"/>
                      <w:lang w:eastAsia="es-ES"/>
                    </w:rPr>
                    <w:t>Risk of death within 30 days of surgery</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5D6EA" w14:textId="77777777" w:rsidR="00B66DB3" w:rsidRPr="000A1E7D" w:rsidRDefault="00B66DB3" w:rsidP="004B7E20">
                  <w:pPr>
                    <w:spacing w:after="0" w:line="240" w:lineRule="auto"/>
                    <w:rPr>
                      <w:bCs/>
                      <w:sz w:val="20"/>
                      <w:szCs w:val="18"/>
                      <w:lang w:eastAsia="es-ES"/>
                    </w:rPr>
                  </w:pPr>
                  <w:r w:rsidRPr="000A1E7D">
                    <w:rPr>
                      <w:bCs/>
                      <w:sz w:val="20"/>
                      <w:szCs w:val="18"/>
                      <w:lang w:eastAsia="es-ES"/>
                    </w:rPr>
                    <w:t>0.5%</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0BA29B23" w14:textId="77777777" w:rsidR="00B66DB3" w:rsidRPr="000A1E7D" w:rsidRDefault="00B66DB3" w:rsidP="004B7E20">
                  <w:pPr>
                    <w:spacing w:after="0" w:line="240" w:lineRule="auto"/>
                    <w:rPr>
                      <w:bCs/>
                      <w:sz w:val="20"/>
                      <w:szCs w:val="18"/>
                      <w:lang w:eastAsia="es-ES"/>
                    </w:rPr>
                  </w:pPr>
                  <w:r w:rsidRPr="000A1E7D">
                    <w:rPr>
                      <w:bCs/>
                      <w:sz w:val="20"/>
                      <w:szCs w:val="18"/>
                      <w:lang w:eastAsia="es-ES"/>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26562B" w14:textId="77777777" w:rsidR="00B66DB3" w:rsidRPr="000A1E7D" w:rsidRDefault="00B66DB3" w:rsidP="004B7E20">
                  <w:pPr>
                    <w:spacing w:after="0" w:line="240" w:lineRule="auto"/>
                    <w:rPr>
                      <w:bCs/>
                      <w:sz w:val="20"/>
                      <w:szCs w:val="18"/>
                      <w:lang w:eastAsia="es-ES"/>
                    </w:rPr>
                  </w:pPr>
                  <w:r w:rsidRPr="000A1E7D">
                    <w:rPr>
                      <w:bCs/>
                      <w:sz w:val="20"/>
                      <w:szCs w:val="18"/>
                      <w:lang w:eastAsia="es-ES"/>
                    </w:rPr>
                    <w:t>2.5%</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71C4A242" w14:textId="77777777" w:rsidR="00B66DB3" w:rsidRPr="000A1E7D" w:rsidRDefault="00B66DB3" w:rsidP="004B7E20">
                  <w:pPr>
                    <w:spacing w:after="0" w:line="240" w:lineRule="auto"/>
                    <w:rPr>
                      <w:bCs/>
                      <w:sz w:val="20"/>
                      <w:szCs w:val="18"/>
                      <w:lang w:eastAsia="es-ES"/>
                    </w:rPr>
                  </w:pPr>
                </w:p>
              </w:tc>
            </w:tr>
            <w:tr w:rsidR="00B66DB3" w:rsidRPr="000A1E7D" w14:paraId="424F36D9" w14:textId="77777777" w:rsidTr="004B7E20">
              <w:trPr>
                <w:trHeight w:val="70"/>
              </w:trPr>
              <w:tc>
                <w:tcPr>
                  <w:tcW w:w="4410" w:type="dxa"/>
                  <w:tcBorders>
                    <w:top w:val="single" w:sz="4" w:space="0" w:color="auto"/>
                    <w:bottom w:val="single" w:sz="4" w:space="0" w:color="auto"/>
                    <w:right w:val="single" w:sz="4" w:space="0" w:color="auto"/>
                  </w:tcBorders>
                  <w:shd w:val="clear" w:color="auto" w:fill="auto"/>
                  <w:vAlign w:val="center"/>
                  <w:hideMark/>
                </w:tcPr>
                <w:p w14:paraId="34BB4226" w14:textId="77777777" w:rsidR="00B66DB3" w:rsidRPr="000A1E7D" w:rsidRDefault="00B66DB3" w:rsidP="004B7E20">
                  <w:pPr>
                    <w:spacing w:after="0" w:line="240" w:lineRule="auto"/>
                    <w:rPr>
                      <w:bCs/>
                      <w:sz w:val="20"/>
                      <w:szCs w:val="18"/>
                      <w:lang w:eastAsia="es-ES"/>
                    </w:rPr>
                  </w:pPr>
                  <w:r w:rsidRPr="000A1E7D">
                    <w:rPr>
                      <w:bCs/>
                      <w:sz w:val="20"/>
                      <w:szCs w:val="18"/>
                      <w:lang w:eastAsia="es-ES"/>
                    </w:rPr>
                    <w:t>Number of operations the centre carries out each year for each type of cancer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581AD"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15AC8378" w14:textId="77777777" w:rsidR="00B66DB3" w:rsidRPr="000A1E7D" w:rsidRDefault="00B66DB3" w:rsidP="004B7E20">
                  <w:pPr>
                    <w:spacing w:after="0" w:line="240" w:lineRule="auto"/>
                    <w:rPr>
                      <w:bCs/>
                      <w:sz w:val="20"/>
                      <w:szCs w:val="18"/>
                      <w:lang w:eastAsia="es-ES"/>
                    </w:rPr>
                  </w:pPr>
                  <w:r w:rsidRPr="000A1E7D">
                    <w:rPr>
                      <w:bCs/>
                      <w:sz w:val="20"/>
                      <w:szCs w:val="18"/>
                      <w:lang w:eastAsia="es-ES"/>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3C6039"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100</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25442514" w14:textId="77777777" w:rsidR="00B66DB3" w:rsidRPr="000A1E7D" w:rsidRDefault="00B66DB3" w:rsidP="004B7E20">
                  <w:pPr>
                    <w:spacing w:after="0" w:line="240" w:lineRule="auto"/>
                    <w:rPr>
                      <w:bCs/>
                      <w:sz w:val="20"/>
                      <w:szCs w:val="18"/>
                      <w:lang w:eastAsia="es-ES"/>
                    </w:rPr>
                  </w:pPr>
                </w:p>
              </w:tc>
            </w:tr>
            <w:tr w:rsidR="00B66DB3" w:rsidRPr="000A1E7D" w14:paraId="05F94D31" w14:textId="77777777" w:rsidTr="004B7E20">
              <w:trPr>
                <w:trHeight w:val="424"/>
              </w:trPr>
              <w:tc>
                <w:tcPr>
                  <w:tcW w:w="4410" w:type="dxa"/>
                  <w:tcBorders>
                    <w:top w:val="single" w:sz="4" w:space="0" w:color="auto"/>
                    <w:bottom w:val="single" w:sz="4" w:space="0" w:color="auto"/>
                    <w:right w:val="single" w:sz="4" w:space="0" w:color="auto"/>
                  </w:tcBorders>
                  <w:shd w:val="clear" w:color="auto" w:fill="auto"/>
                  <w:vAlign w:val="center"/>
                  <w:hideMark/>
                </w:tcPr>
                <w:p w14:paraId="73F800B7" w14:textId="77777777" w:rsidR="00B66DB3" w:rsidRPr="000A1E7D" w:rsidRDefault="00B66DB3" w:rsidP="004B7E20">
                  <w:pPr>
                    <w:spacing w:after="0" w:line="240" w:lineRule="auto"/>
                    <w:rPr>
                      <w:bCs/>
                      <w:sz w:val="20"/>
                      <w:szCs w:val="18"/>
                      <w:lang w:eastAsia="es-ES"/>
                    </w:rPr>
                  </w:pPr>
                  <w:r w:rsidRPr="000A1E7D">
                    <w:rPr>
                      <w:bCs/>
                      <w:sz w:val="20"/>
                      <w:szCs w:val="18"/>
                      <w:lang w:eastAsia="es-ES"/>
                    </w:rPr>
                    <w:t>Access to a specialist multi</w:t>
                  </w:r>
                  <w:r>
                    <w:rPr>
                      <w:bCs/>
                      <w:sz w:val="20"/>
                      <w:szCs w:val="18"/>
                      <w:lang w:eastAsia="es-ES"/>
                    </w:rPr>
                    <w:t>-</w:t>
                  </w:r>
                  <w:r w:rsidRPr="000A1E7D">
                    <w:rPr>
                      <w:bCs/>
                      <w:sz w:val="20"/>
                      <w:szCs w:val="18"/>
                      <w:lang w:eastAsia="es-ES"/>
                    </w:rPr>
                    <w:t>disciplinary team to decide treatment</w:t>
                  </w:r>
                </w:p>
              </w:tc>
              <w:tc>
                <w:tcPr>
                  <w:tcW w:w="1417" w:type="dxa"/>
                  <w:tcBorders>
                    <w:top w:val="single" w:sz="4" w:space="0" w:color="auto"/>
                    <w:left w:val="single" w:sz="4" w:space="0" w:color="auto"/>
                    <w:right w:val="single" w:sz="4" w:space="0" w:color="auto"/>
                  </w:tcBorders>
                  <w:shd w:val="clear" w:color="auto" w:fill="auto"/>
                  <w:vAlign w:val="center"/>
                  <w:hideMark/>
                </w:tcPr>
                <w:p w14:paraId="0C405D2D" w14:textId="77777777" w:rsidR="00B66DB3" w:rsidRPr="000A1E7D" w:rsidRDefault="00B66DB3" w:rsidP="004B7E20">
                  <w:pPr>
                    <w:spacing w:after="0" w:line="240" w:lineRule="auto"/>
                    <w:rPr>
                      <w:bCs/>
                      <w:sz w:val="20"/>
                      <w:szCs w:val="18"/>
                      <w:lang w:eastAsia="es-ES"/>
                    </w:rPr>
                  </w:pPr>
                  <w:r w:rsidRPr="000A1E7D">
                    <w:rPr>
                      <w:bCs/>
                      <w:sz w:val="20"/>
                      <w:szCs w:val="18"/>
                      <w:lang w:eastAsia="es-ES"/>
                    </w:rPr>
                    <w:t>Local MDT</w:t>
                  </w:r>
                </w:p>
              </w:tc>
              <w:tc>
                <w:tcPr>
                  <w:tcW w:w="1201" w:type="dxa"/>
                  <w:tcBorders>
                    <w:top w:val="single" w:sz="4" w:space="0" w:color="auto"/>
                    <w:left w:val="single" w:sz="4" w:space="0" w:color="auto"/>
                    <w:right w:val="single" w:sz="4" w:space="0" w:color="auto"/>
                  </w:tcBorders>
                  <w:shd w:val="clear" w:color="auto" w:fill="auto"/>
                  <w:vAlign w:val="center"/>
                </w:tcPr>
                <w:p w14:paraId="1C434205" w14:textId="77777777" w:rsidR="00B66DB3" w:rsidRPr="000A1E7D" w:rsidRDefault="00B66DB3" w:rsidP="004B7E20">
                  <w:pPr>
                    <w:spacing w:after="0" w:line="240" w:lineRule="auto"/>
                    <w:rPr>
                      <w:bCs/>
                      <w:sz w:val="20"/>
                      <w:szCs w:val="18"/>
                      <w:lang w:eastAsia="es-ES"/>
                    </w:rPr>
                  </w:pPr>
                  <w:r w:rsidRPr="000A1E7D">
                    <w:rPr>
                      <w:bCs/>
                      <w:sz w:val="20"/>
                      <w:szCs w:val="18"/>
                      <w:lang w:eastAsia="es-ES"/>
                    </w:rPr>
                    <w:t>Specialist MDT</w:t>
                  </w:r>
                </w:p>
              </w:tc>
              <w:tc>
                <w:tcPr>
                  <w:tcW w:w="1134" w:type="dxa"/>
                  <w:tcBorders>
                    <w:top w:val="single" w:sz="4" w:space="0" w:color="auto"/>
                    <w:left w:val="single" w:sz="4" w:space="0" w:color="auto"/>
                    <w:right w:val="single" w:sz="4" w:space="0" w:color="auto"/>
                  </w:tcBorders>
                  <w:shd w:val="clear" w:color="auto" w:fill="auto"/>
                  <w:vAlign w:val="center"/>
                </w:tcPr>
                <w:p w14:paraId="5B4875E8" w14:textId="77777777" w:rsidR="00B66DB3" w:rsidRPr="000A1E7D" w:rsidRDefault="00B66DB3" w:rsidP="004B7E20">
                  <w:pPr>
                    <w:spacing w:after="0" w:line="240" w:lineRule="auto"/>
                    <w:rPr>
                      <w:bCs/>
                      <w:sz w:val="20"/>
                      <w:szCs w:val="18"/>
                      <w:lang w:eastAsia="es-ES"/>
                    </w:rPr>
                  </w:pPr>
                </w:p>
              </w:tc>
              <w:tc>
                <w:tcPr>
                  <w:tcW w:w="919" w:type="dxa"/>
                  <w:tcBorders>
                    <w:top w:val="single" w:sz="4" w:space="0" w:color="auto"/>
                    <w:left w:val="single" w:sz="4" w:space="0" w:color="auto"/>
                    <w:right w:val="single" w:sz="4" w:space="0" w:color="auto"/>
                  </w:tcBorders>
                  <w:shd w:val="clear" w:color="auto" w:fill="auto"/>
                  <w:vAlign w:val="center"/>
                </w:tcPr>
                <w:p w14:paraId="05E0390D" w14:textId="77777777" w:rsidR="00B66DB3" w:rsidRPr="000A1E7D" w:rsidRDefault="00B66DB3" w:rsidP="004B7E20">
                  <w:pPr>
                    <w:spacing w:after="0" w:line="240" w:lineRule="auto"/>
                    <w:rPr>
                      <w:bCs/>
                      <w:sz w:val="20"/>
                      <w:szCs w:val="18"/>
                      <w:lang w:eastAsia="es-ES"/>
                    </w:rPr>
                  </w:pPr>
                </w:p>
              </w:tc>
            </w:tr>
            <w:tr w:rsidR="00B66DB3" w:rsidRPr="000A1E7D" w14:paraId="789D0357" w14:textId="77777777" w:rsidTr="004B7E20">
              <w:trPr>
                <w:trHeight w:val="70"/>
              </w:trPr>
              <w:tc>
                <w:tcPr>
                  <w:tcW w:w="4410" w:type="dxa"/>
                  <w:tcBorders>
                    <w:top w:val="single" w:sz="4" w:space="0" w:color="auto"/>
                    <w:bottom w:val="single" w:sz="4" w:space="0" w:color="auto"/>
                    <w:right w:val="single" w:sz="4" w:space="0" w:color="auto"/>
                  </w:tcBorders>
                  <w:shd w:val="clear" w:color="auto" w:fill="auto"/>
                  <w:vAlign w:val="center"/>
                  <w:hideMark/>
                </w:tcPr>
                <w:p w14:paraId="4812FD62" w14:textId="77777777" w:rsidR="00B66DB3" w:rsidRPr="000A1E7D" w:rsidRDefault="00B66DB3" w:rsidP="004B7E20">
                  <w:pPr>
                    <w:spacing w:after="0" w:line="240" w:lineRule="auto"/>
                    <w:rPr>
                      <w:bCs/>
                      <w:sz w:val="20"/>
                      <w:szCs w:val="18"/>
                      <w:lang w:eastAsia="es-ES"/>
                    </w:rPr>
                  </w:pPr>
                  <w:r w:rsidRPr="000A1E7D">
                    <w:rPr>
                      <w:bCs/>
                      <w:sz w:val="20"/>
                      <w:szCs w:val="18"/>
                      <w:lang w:eastAsia="es-ES"/>
                    </w:rPr>
                    <w:t>Availability of specialist surgeon cover after the operation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F755E"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During normal working hours </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699645AD" w14:textId="77777777" w:rsidR="00B66DB3" w:rsidRPr="000A1E7D" w:rsidRDefault="00B66DB3" w:rsidP="004B7E20">
                  <w:pPr>
                    <w:spacing w:after="0" w:line="240" w:lineRule="auto"/>
                    <w:rPr>
                      <w:bCs/>
                      <w:sz w:val="20"/>
                      <w:szCs w:val="18"/>
                      <w:lang w:eastAsia="es-ES"/>
                    </w:rPr>
                  </w:pPr>
                  <w:r w:rsidRPr="000A1E7D">
                    <w:rPr>
                      <w:bCs/>
                      <w:sz w:val="20"/>
                      <w:szCs w:val="18"/>
                      <w:lang w:eastAsia="es-ES"/>
                    </w:rPr>
                    <w:t>24 hours a day, seven days a week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FBF655" w14:textId="77777777" w:rsidR="00B66DB3" w:rsidRPr="000A1E7D" w:rsidRDefault="00B66DB3" w:rsidP="004B7E20">
                  <w:pPr>
                    <w:spacing w:after="0" w:line="240" w:lineRule="auto"/>
                    <w:rPr>
                      <w:bCs/>
                      <w:sz w:val="20"/>
                      <w:szCs w:val="18"/>
                      <w:lang w:eastAsia="es-ES"/>
                    </w:rPr>
                  </w:pP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1125F7B8" w14:textId="77777777" w:rsidR="00B66DB3" w:rsidRPr="000A1E7D" w:rsidRDefault="00B66DB3" w:rsidP="004B7E20">
                  <w:pPr>
                    <w:spacing w:after="0" w:line="240" w:lineRule="auto"/>
                    <w:rPr>
                      <w:bCs/>
                      <w:sz w:val="20"/>
                      <w:szCs w:val="18"/>
                      <w:lang w:eastAsia="es-ES"/>
                    </w:rPr>
                  </w:pPr>
                </w:p>
              </w:tc>
            </w:tr>
          </w:tbl>
          <w:p w14:paraId="3A9614F8" w14:textId="77777777" w:rsidR="00B66DB3" w:rsidRPr="000A1E7D" w:rsidRDefault="00B66DB3" w:rsidP="004B7E20">
            <w:pPr>
              <w:rPr>
                <w:bCs/>
                <w:color w:val="000000"/>
              </w:rPr>
            </w:pPr>
          </w:p>
        </w:tc>
      </w:tr>
      <w:tr w:rsidR="00B66DB3" w:rsidRPr="000A1E7D" w14:paraId="77D91C90" w14:textId="77777777" w:rsidTr="004B7E20">
        <w:tc>
          <w:tcPr>
            <w:tcW w:w="9606" w:type="dxa"/>
            <w:tcBorders>
              <w:top w:val="single" w:sz="12" w:space="0" w:color="auto"/>
            </w:tcBorders>
          </w:tcPr>
          <w:p w14:paraId="21EBA78D" w14:textId="77777777" w:rsidR="00B66DB3" w:rsidRPr="000A1E7D" w:rsidRDefault="00B66DB3" w:rsidP="00B66DB3">
            <w:pPr>
              <w:pStyle w:val="ListParagraph"/>
              <w:numPr>
                <w:ilvl w:val="0"/>
                <w:numId w:val="10"/>
              </w:numPr>
              <w:spacing w:after="0"/>
              <w:rPr>
                <w:rStyle w:val="PageNumber"/>
                <w:bCs/>
                <w:szCs w:val="20"/>
              </w:rPr>
            </w:pPr>
            <w:r w:rsidRPr="000A1E7D">
              <w:rPr>
                <w:bCs/>
                <w:i/>
              </w:rPr>
              <w:t>Example of DCE choice set</w:t>
            </w:r>
          </w:p>
          <w:p w14:paraId="6887817F" w14:textId="77777777" w:rsidR="00B66DB3" w:rsidRPr="000A1E7D" w:rsidRDefault="00B66DB3" w:rsidP="004B7E20">
            <w:pPr>
              <w:pStyle w:val="BodyA"/>
              <w:rPr>
                <w:rStyle w:val="PageNumber"/>
                <w:rFonts w:ascii="Times New Roman" w:hAnsi="Times New Roman" w:cs="Times New Roman"/>
                <w:bCs/>
                <w:sz w:val="20"/>
                <w:szCs w:val="20"/>
                <w:shd w:val="clear" w:color="auto" w:fill="FFFF00"/>
                <w:lang w:val="en-GB"/>
              </w:rPr>
            </w:pPr>
          </w:p>
          <w:tbl>
            <w:tblPr>
              <w:tblW w:w="4673" w:type="pct"/>
              <w:shd w:val="clear" w:color="auto" w:fill="CED7E7"/>
              <w:tblLook w:val="04A0" w:firstRow="1" w:lastRow="0" w:firstColumn="1" w:lastColumn="0" w:noHBand="0" w:noVBand="1"/>
            </w:tblPr>
            <w:tblGrid>
              <w:gridCol w:w="4051"/>
              <w:gridCol w:w="2400"/>
              <w:gridCol w:w="2316"/>
            </w:tblGrid>
            <w:tr w:rsidR="00B66DB3" w:rsidRPr="000A1E7D" w14:paraId="3248C5B1" w14:textId="77777777" w:rsidTr="004B7E20">
              <w:trPr>
                <w:trHeight w:val="300"/>
              </w:trPr>
              <w:tc>
                <w:tcPr>
                  <w:tcW w:w="2310"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317FC499" w14:textId="77777777" w:rsidR="00B66DB3" w:rsidRPr="000A1E7D" w:rsidRDefault="00B66DB3" w:rsidP="004B7E20">
                  <w:pPr>
                    <w:pStyle w:val="BodyText"/>
                    <w:rPr>
                      <w:rFonts w:cs="Times New Roman"/>
                      <w:b w:val="0"/>
                      <w:sz w:val="20"/>
                      <w:lang w:val="en-GB"/>
                    </w:rPr>
                  </w:pPr>
                  <w:r w:rsidRPr="000A1E7D">
                    <w:rPr>
                      <w:rStyle w:val="PageNumber"/>
                      <w:rFonts w:cs="Times New Roman"/>
                      <w:b w:val="0"/>
                      <w:sz w:val="20"/>
                      <w:lang w:val="en-GB"/>
                    </w:rPr>
                    <w:t>Factors</w:t>
                  </w:r>
                </w:p>
              </w:tc>
              <w:tc>
                <w:tcPr>
                  <w:tcW w:w="1369"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0DA5E4CC" w14:textId="77777777" w:rsidR="00B66DB3" w:rsidRPr="000A1E7D" w:rsidRDefault="00B66DB3" w:rsidP="004B7E20">
                  <w:pPr>
                    <w:pStyle w:val="BodyText"/>
                    <w:jc w:val="center"/>
                    <w:rPr>
                      <w:rFonts w:cs="Times New Roman"/>
                      <w:b w:val="0"/>
                      <w:sz w:val="20"/>
                      <w:lang w:val="en-GB"/>
                    </w:rPr>
                  </w:pPr>
                  <w:r w:rsidRPr="000A1E7D">
                    <w:rPr>
                      <w:rStyle w:val="PageNumber"/>
                      <w:rFonts w:cs="Times New Roman"/>
                      <w:b w:val="0"/>
                      <w:sz w:val="20"/>
                      <w:lang w:val="en-GB"/>
                    </w:rPr>
                    <w:t>Centre A</w:t>
                  </w:r>
                </w:p>
              </w:tc>
              <w:tc>
                <w:tcPr>
                  <w:tcW w:w="1321"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304716F7" w14:textId="77777777" w:rsidR="00B66DB3" w:rsidRPr="000A1E7D" w:rsidRDefault="00B66DB3" w:rsidP="004B7E20">
                  <w:pPr>
                    <w:pStyle w:val="BodyText"/>
                    <w:jc w:val="center"/>
                    <w:rPr>
                      <w:rFonts w:cs="Times New Roman"/>
                      <w:b w:val="0"/>
                      <w:sz w:val="20"/>
                      <w:szCs w:val="20"/>
                      <w:lang w:val="en-GB"/>
                    </w:rPr>
                  </w:pPr>
                  <w:r w:rsidRPr="000A1E7D">
                    <w:rPr>
                      <w:rStyle w:val="PageNumber"/>
                      <w:rFonts w:cs="Times New Roman"/>
                      <w:b w:val="0"/>
                      <w:sz w:val="20"/>
                      <w:szCs w:val="20"/>
                      <w:lang w:val="en-GB"/>
                    </w:rPr>
                    <w:t>Centre B</w:t>
                  </w:r>
                </w:p>
              </w:tc>
            </w:tr>
            <w:tr w:rsidR="00B66DB3" w:rsidRPr="000A1E7D" w14:paraId="59F1A725" w14:textId="77777777" w:rsidTr="004B7E20">
              <w:trPr>
                <w:trHeight w:val="20"/>
              </w:trPr>
              <w:tc>
                <w:tcPr>
                  <w:tcW w:w="2310"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2CD4E77A"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Travel time to the hospital to have surgery (door to door, one way)</w:t>
                  </w:r>
                </w:p>
              </w:tc>
              <w:tc>
                <w:tcPr>
                  <w:tcW w:w="1369"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7EC0F46E"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Up to 30 minutes</w:t>
                  </w:r>
                </w:p>
              </w:tc>
              <w:tc>
                <w:tcPr>
                  <w:tcW w:w="1321"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4B6E1A3E"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Between 60 and 90 minutes</w:t>
                  </w:r>
                </w:p>
              </w:tc>
            </w:tr>
            <w:tr w:rsidR="00B66DB3" w:rsidRPr="000A1E7D" w14:paraId="40EBEE47" w14:textId="77777777" w:rsidTr="004B7E20">
              <w:trPr>
                <w:trHeight w:val="123"/>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6A6227D"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Risk of serious complications from surgery</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4E85EC67"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5% chance of serious complications</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2CB00D7"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1% chance of serious complications</w:t>
                  </w:r>
                </w:p>
              </w:tc>
            </w:tr>
            <w:tr w:rsidR="00B66DB3" w:rsidRPr="000A1E7D" w14:paraId="6EE7DC0F" w14:textId="77777777" w:rsidTr="004B7E20">
              <w:trPr>
                <w:trHeight w:val="1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36210026"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Number of operations the centre carries out each year for each type of cancer</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B0F80EE"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10 operations per centre per year</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CD1FD1C"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50 operations per centre per year</w:t>
                  </w:r>
                </w:p>
              </w:tc>
            </w:tr>
            <w:tr w:rsidR="00B66DB3" w:rsidRPr="000A1E7D" w14:paraId="3835CF2A" w14:textId="77777777" w:rsidTr="004B7E20">
              <w:trPr>
                <w:trHeight w:val="1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4FF210D4"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Risk of death within 30 days of surgery</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147C65B7"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2.5% chance of dying</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356E903"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1.5% chance of dying</w:t>
                  </w:r>
                </w:p>
              </w:tc>
            </w:tr>
            <w:tr w:rsidR="00B66DB3" w:rsidRPr="000A1E7D" w14:paraId="39EF38CA" w14:textId="77777777" w:rsidTr="004B7E20">
              <w:trPr>
                <w:trHeight w:val="7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3594525"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Access to a specialist multi</w:t>
                  </w:r>
                  <w:r>
                    <w:rPr>
                      <w:rStyle w:val="PageNumber"/>
                      <w:rFonts w:cs="Times New Roman"/>
                      <w:b w:val="0"/>
                      <w:sz w:val="20"/>
                      <w:lang w:val="en-GB"/>
                    </w:rPr>
                    <w:t>-</w:t>
                  </w:r>
                  <w:r w:rsidRPr="000A1E7D">
                    <w:rPr>
                      <w:rStyle w:val="PageNumber"/>
                      <w:rFonts w:cs="Times New Roman"/>
                      <w:b w:val="0"/>
                      <w:sz w:val="20"/>
                      <w:lang w:val="en-GB"/>
                    </w:rPr>
                    <w:t>disciplinary team to decide treatment</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12BE497A"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Local MDT</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915872B"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Specialist MDT</w:t>
                  </w:r>
                </w:p>
              </w:tc>
            </w:tr>
            <w:tr w:rsidR="00B66DB3" w:rsidRPr="000A1E7D" w14:paraId="117638EA" w14:textId="77777777" w:rsidTr="004B7E20">
              <w:trPr>
                <w:trHeight w:val="15"/>
              </w:trPr>
              <w:tc>
                <w:tcPr>
                  <w:tcW w:w="2310"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296271C1"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Availability of</w:t>
                  </w:r>
                  <w:r>
                    <w:rPr>
                      <w:rStyle w:val="PageNumber"/>
                      <w:rFonts w:cs="Times New Roman"/>
                      <w:b w:val="0"/>
                      <w:sz w:val="20"/>
                      <w:lang w:val="en-GB"/>
                    </w:rPr>
                    <w:t xml:space="preserve"> </w:t>
                  </w:r>
                  <w:r w:rsidRPr="000A1E7D">
                    <w:rPr>
                      <w:rStyle w:val="PageNumber"/>
                      <w:rFonts w:cs="Times New Roman"/>
                      <w:b w:val="0"/>
                      <w:sz w:val="20"/>
                      <w:lang w:val="en-GB"/>
                    </w:rPr>
                    <w:t>specialist surgeon cover after the operation</w:t>
                  </w:r>
                </w:p>
              </w:tc>
              <w:tc>
                <w:tcPr>
                  <w:tcW w:w="1369"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40B2C0D2"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Specialist surgeon during normal working hours and general surgeon for the rest of the time</w:t>
                  </w:r>
                </w:p>
              </w:tc>
              <w:tc>
                <w:tcPr>
                  <w:tcW w:w="1321"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249C0B9C"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Specialist surgeon 24 hours a day, seven days a week</w:t>
                  </w:r>
                </w:p>
              </w:tc>
            </w:tr>
          </w:tbl>
          <w:p w14:paraId="7F72294B" w14:textId="77777777" w:rsidR="00B66DB3" w:rsidRPr="000A1E7D" w:rsidRDefault="00B66DB3" w:rsidP="004B7E20">
            <w:pPr>
              <w:pStyle w:val="BodyText"/>
              <w:spacing w:before="120"/>
              <w:rPr>
                <w:rFonts w:cs="Times New Roman"/>
                <w:b w:val="0"/>
                <w:sz w:val="20"/>
                <w:szCs w:val="20"/>
                <w:lang w:val="en-GB"/>
              </w:rPr>
            </w:pPr>
            <w:r w:rsidRPr="000A1E7D">
              <w:rPr>
                <w:rFonts w:cs="Times New Roman"/>
                <w:b w:val="0"/>
                <w:sz w:val="20"/>
                <w:szCs w:val="20"/>
                <w:lang w:val="en-GB"/>
              </w:rPr>
              <w:t>Which centre would you choose for surgery? (</w:t>
            </w:r>
            <w:r w:rsidRPr="000A1E7D">
              <w:rPr>
                <w:rStyle w:val="PageNumber"/>
                <w:rFonts w:cs="Times New Roman"/>
                <w:b w:val="0"/>
                <w:iCs/>
                <w:sz w:val="20"/>
                <w:szCs w:val="20"/>
                <w:lang w:val="en-GB"/>
              </w:rPr>
              <w:t>Tick one box only.</w:t>
            </w:r>
            <w:r w:rsidRPr="000A1E7D">
              <w:rPr>
                <w:rFonts w:cs="Times New Roman"/>
                <w:b w:val="0"/>
                <w:sz w:val="20"/>
                <w:szCs w:val="20"/>
                <w:lang w:val="en-GB"/>
              </w:rPr>
              <w:t xml:space="preserve">) </w:t>
            </w:r>
          </w:p>
          <w:p w14:paraId="59A71C9A" w14:textId="77777777" w:rsidR="00B66DB3" w:rsidRPr="000A1E7D" w:rsidRDefault="00B66DB3" w:rsidP="004B7E20">
            <w:pPr>
              <w:pStyle w:val="Body"/>
              <w:ind w:firstLine="200"/>
              <w:rPr>
                <w:rFonts w:cs="Times New Roman"/>
                <w:bCs/>
                <w:sz w:val="20"/>
                <w:szCs w:val="20"/>
                <w:lang w:val="en-GB"/>
              </w:rPr>
            </w:pPr>
            <w:r w:rsidRPr="000A1E7D">
              <w:rPr>
                <w:rFonts w:cs="Times New Roman"/>
                <w:bCs/>
                <w:sz w:val="20"/>
                <w:szCs w:val="20"/>
                <w:lang w:val="en-GB"/>
              </w:rPr>
              <w:t xml:space="preserve">Centre A </w:t>
            </w:r>
            <w:sdt>
              <w:sdtPr>
                <w:rPr>
                  <w:rFonts w:cs="Times New Roman"/>
                  <w:bCs/>
                  <w:sz w:val="20"/>
                  <w:szCs w:val="20"/>
                  <w:lang w:val="en-GB"/>
                </w:rPr>
                <w:id w:val="645478252"/>
              </w:sdtPr>
              <w:sdtEndPr/>
              <w:sdtContent>
                <w:r w:rsidRPr="000A1E7D">
                  <w:rPr>
                    <w:rFonts w:ascii="Segoe UI Symbol" w:eastAsia="MS Gothic" w:hAnsi="Segoe UI Symbol" w:cs="Segoe UI Symbol"/>
                    <w:bCs/>
                    <w:sz w:val="20"/>
                    <w:szCs w:val="20"/>
                    <w:lang w:val="en-GB"/>
                  </w:rPr>
                  <w:t>☐</w:t>
                </w:r>
              </w:sdtContent>
            </w:sdt>
            <w:r w:rsidRPr="000A1E7D">
              <w:rPr>
                <w:rFonts w:cs="Times New Roman"/>
                <w:bCs/>
                <w:sz w:val="20"/>
                <w:szCs w:val="20"/>
                <w:lang w:val="en-GB"/>
              </w:rPr>
              <w:tab/>
            </w:r>
            <w:r w:rsidRPr="000A1E7D">
              <w:rPr>
                <w:rFonts w:cs="Times New Roman"/>
                <w:bCs/>
                <w:sz w:val="20"/>
                <w:szCs w:val="20"/>
                <w:lang w:val="en-GB"/>
              </w:rPr>
              <w:tab/>
              <w:t xml:space="preserve">Centre B </w:t>
            </w:r>
            <w:sdt>
              <w:sdtPr>
                <w:rPr>
                  <w:rFonts w:cs="Times New Roman"/>
                  <w:bCs/>
                  <w:sz w:val="20"/>
                  <w:szCs w:val="20"/>
                  <w:lang w:val="en-GB"/>
                </w:rPr>
                <w:id w:val="-388431883"/>
              </w:sdtPr>
              <w:sdtEndPr/>
              <w:sdtContent>
                <w:r w:rsidRPr="000A1E7D">
                  <w:rPr>
                    <w:rFonts w:ascii="Segoe UI Symbol" w:eastAsia="MS Gothic" w:hAnsi="Segoe UI Symbol" w:cs="Segoe UI Symbol"/>
                    <w:bCs/>
                    <w:sz w:val="20"/>
                    <w:szCs w:val="20"/>
                    <w:lang w:val="en-GB"/>
                  </w:rPr>
                  <w:t>☐</w:t>
                </w:r>
              </w:sdtContent>
            </w:sdt>
            <w:r w:rsidRPr="000A1E7D">
              <w:rPr>
                <w:rFonts w:cs="Times New Roman"/>
                <w:bCs/>
                <w:sz w:val="20"/>
                <w:szCs w:val="20"/>
                <w:lang w:val="en-GB"/>
              </w:rPr>
              <w:tab/>
            </w:r>
            <w:r w:rsidRPr="000A1E7D">
              <w:rPr>
                <w:rFonts w:cs="Times New Roman"/>
                <w:bCs/>
                <w:sz w:val="20"/>
                <w:szCs w:val="20"/>
                <w:lang w:val="en-GB"/>
              </w:rPr>
              <w:tab/>
            </w:r>
          </w:p>
          <w:p w14:paraId="7B01319C" w14:textId="77777777" w:rsidR="00B66DB3" w:rsidRPr="000A1E7D" w:rsidRDefault="00B66DB3" w:rsidP="004B7E20">
            <w:pPr>
              <w:rPr>
                <w:bCs/>
                <w:color w:val="000000"/>
              </w:rPr>
            </w:pPr>
          </w:p>
        </w:tc>
      </w:tr>
    </w:tbl>
    <w:p w14:paraId="5F29B9EB" w14:textId="77777777" w:rsidR="00B66DB3" w:rsidRDefault="00B66DB3" w:rsidP="00B66DB3">
      <w:pPr>
        <w:pStyle w:val="Figure"/>
        <w:rPr>
          <w:bCs/>
        </w:rPr>
      </w:pPr>
      <w:bookmarkStart w:id="6" w:name="_Toc90545611"/>
      <w:bookmarkStart w:id="7" w:name="_Toc87526845"/>
      <w:r w:rsidRPr="000A1E7D">
        <w:t xml:space="preserve">DCE </w:t>
      </w:r>
      <w:r>
        <w:rPr>
          <w:lang w:val="en-GB"/>
        </w:rPr>
        <w:t>survey design and format</w:t>
      </w:r>
      <w:bookmarkEnd w:id="6"/>
      <w:bookmarkEnd w:id="7"/>
    </w:p>
    <w:p w14:paraId="3622086C" w14:textId="0BE2393A" w:rsidR="001C466C" w:rsidRDefault="001C466C" w:rsidP="00B66DB3">
      <w:pPr>
        <w:pStyle w:val="Figure"/>
        <w:numPr>
          <w:ilvl w:val="0"/>
          <w:numId w:val="0"/>
        </w:numPr>
        <w:spacing w:line="276" w:lineRule="auto"/>
        <w:jc w:val="both"/>
        <w:rPr>
          <w:lang w:val="en-GB"/>
        </w:rPr>
      </w:pPr>
      <w:r>
        <w:rPr>
          <w:lang w:val="en-GB"/>
        </w:rPr>
        <w:br w:type="page"/>
      </w:r>
    </w:p>
    <w:p w14:paraId="00BA0E89" w14:textId="77777777" w:rsidR="00B66DB3" w:rsidRPr="000A1E7D" w:rsidRDefault="00B66DB3" w:rsidP="00B66DB3">
      <w:pPr>
        <w:pStyle w:val="Figure"/>
        <w:numPr>
          <w:ilvl w:val="0"/>
          <w:numId w:val="0"/>
        </w:numPr>
        <w:spacing w:line="276" w:lineRule="auto"/>
        <w:jc w:val="both"/>
        <w:rPr>
          <w:lang w:val="en-GB"/>
        </w:rPr>
      </w:pPr>
    </w:p>
    <w:tbl>
      <w:tblPr>
        <w:tblW w:w="0" w:type="auto"/>
        <w:tblInd w:w="-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763"/>
      </w:tblGrid>
      <w:tr w:rsidR="00B66DB3" w:rsidRPr="000A1E7D" w14:paraId="730C6E7F" w14:textId="77777777" w:rsidTr="004B7E20">
        <w:tc>
          <w:tcPr>
            <w:tcW w:w="7763" w:type="dxa"/>
            <w:tcBorders>
              <w:top w:val="single" w:sz="12" w:space="0" w:color="auto"/>
              <w:bottom w:val="single" w:sz="12" w:space="0" w:color="auto"/>
            </w:tcBorders>
          </w:tcPr>
          <w:p w14:paraId="52A9D68C" w14:textId="77777777" w:rsidR="00B66DB3" w:rsidRPr="00361CA7" w:rsidRDefault="00B66DB3" w:rsidP="004B7E20">
            <w:pPr>
              <w:rPr>
                <w:b/>
                <w:bCs/>
                <w:noProof/>
                <w:lang w:eastAsia="es-ES"/>
              </w:rPr>
            </w:pPr>
            <w:r>
              <w:rPr>
                <w:b/>
                <w:bCs/>
                <w:i/>
                <w:noProof/>
                <w:szCs w:val="20"/>
                <w:lang w:eastAsia="es-ES"/>
              </w:rPr>
              <w:t xml:space="preserve">(a) </w:t>
            </w:r>
            <w:r w:rsidRPr="00361CA7">
              <w:rPr>
                <w:b/>
                <w:bCs/>
                <w:i/>
                <w:noProof/>
                <w:szCs w:val="20"/>
                <w:lang w:eastAsia="es-ES"/>
              </w:rPr>
              <w:t>Patients (119 respondents)</w:t>
            </w:r>
          </w:p>
          <w:p w14:paraId="5898A55B" w14:textId="77777777" w:rsidR="00B66DB3" w:rsidRPr="000A1E7D" w:rsidRDefault="00B66DB3" w:rsidP="004B7E20">
            <w:pPr>
              <w:rPr>
                <w:rFonts w:ascii="Arial" w:hAnsi="Arial" w:cs="Arial"/>
                <w:b/>
              </w:rPr>
            </w:pPr>
            <w:r w:rsidRPr="000A1E7D">
              <w:rPr>
                <w:noProof/>
                <w:lang w:eastAsia="es-ES"/>
              </w:rPr>
              <w:drawing>
                <wp:inline distT="0" distB="0" distL="0" distR="0" wp14:anchorId="0C7E6BC1" wp14:editId="68F87958">
                  <wp:extent cx="4371975" cy="2466975"/>
                  <wp:effectExtent l="0" t="0" r="0" b="0"/>
                  <wp:docPr id="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B66DB3" w:rsidRPr="000A1E7D" w14:paraId="42415275" w14:textId="77777777" w:rsidTr="004B7E20">
        <w:trPr>
          <w:cantSplit/>
        </w:trPr>
        <w:tc>
          <w:tcPr>
            <w:tcW w:w="7763" w:type="dxa"/>
            <w:tcBorders>
              <w:top w:val="single" w:sz="12" w:space="0" w:color="auto"/>
              <w:bottom w:val="single" w:sz="12" w:space="0" w:color="auto"/>
            </w:tcBorders>
          </w:tcPr>
          <w:p w14:paraId="3EF7E131" w14:textId="77777777" w:rsidR="00B66DB3" w:rsidRPr="00361CA7" w:rsidRDefault="00B66DB3" w:rsidP="004B7E20">
            <w:pPr>
              <w:rPr>
                <w:b/>
                <w:bCs/>
                <w:noProof/>
                <w:lang w:eastAsia="es-ES"/>
              </w:rPr>
            </w:pPr>
            <w:r>
              <w:rPr>
                <w:b/>
                <w:bCs/>
                <w:i/>
              </w:rPr>
              <w:t xml:space="preserve">(b) </w:t>
            </w:r>
            <w:r w:rsidRPr="00361CA7">
              <w:rPr>
                <w:b/>
                <w:bCs/>
                <w:i/>
              </w:rPr>
              <w:t>Public (113 respondents)</w:t>
            </w:r>
          </w:p>
          <w:p w14:paraId="4686F3BC" w14:textId="77777777" w:rsidR="00B66DB3" w:rsidRPr="000A1E7D" w:rsidRDefault="00B66DB3" w:rsidP="004B7E20">
            <w:pPr>
              <w:rPr>
                <w:rFonts w:ascii="Arial" w:hAnsi="Arial" w:cs="Arial"/>
                <w:b/>
              </w:rPr>
            </w:pPr>
            <w:r w:rsidRPr="000A1E7D">
              <w:rPr>
                <w:noProof/>
                <w:lang w:eastAsia="es-ES"/>
              </w:rPr>
              <w:drawing>
                <wp:inline distT="0" distB="0" distL="0" distR="0" wp14:anchorId="1F540195" wp14:editId="74CD7815">
                  <wp:extent cx="4467225" cy="2508989"/>
                  <wp:effectExtent l="0" t="0" r="0" b="571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B66DB3" w:rsidRPr="000A1E7D" w14:paraId="47BA53AE" w14:textId="77777777" w:rsidTr="004B7E20">
        <w:tc>
          <w:tcPr>
            <w:tcW w:w="7763" w:type="dxa"/>
            <w:tcBorders>
              <w:top w:val="single" w:sz="12" w:space="0" w:color="auto"/>
            </w:tcBorders>
          </w:tcPr>
          <w:p w14:paraId="5F052034" w14:textId="77777777" w:rsidR="00B66DB3" w:rsidRPr="00361CA7" w:rsidRDefault="00B66DB3" w:rsidP="004B7E20">
            <w:pPr>
              <w:rPr>
                <w:b/>
                <w:bCs/>
                <w:noProof/>
                <w:lang w:eastAsia="es-ES"/>
              </w:rPr>
            </w:pPr>
            <w:r w:rsidRPr="00361CA7">
              <w:rPr>
                <w:b/>
                <w:bCs/>
                <w:i/>
                <w:szCs w:val="20"/>
              </w:rPr>
              <w:t>(c) Health professional (96 respondents)</w:t>
            </w:r>
          </w:p>
          <w:p w14:paraId="62B15297" w14:textId="77777777" w:rsidR="00B66DB3" w:rsidRPr="000A1E7D" w:rsidRDefault="00B66DB3" w:rsidP="004B7E20">
            <w:pPr>
              <w:rPr>
                <w:rFonts w:ascii="Arial" w:hAnsi="Arial" w:cs="Arial"/>
                <w:b/>
              </w:rPr>
            </w:pPr>
            <w:r w:rsidRPr="000A1E7D">
              <w:rPr>
                <w:noProof/>
                <w:lang w:eastAsia="es-ES"/>
              </w:rPr>
              <w:lastRenderedPageBreak/>
              <w:drawing>
                <wp:inline distT="0" distB="0" distL="0" distR="0" wp14:anchorId="0984BE5C" wp14:editId="4487854C">
                  <wp:extent cx="4467225" cy="2316663"/>
                  <wp:effectExtent l="0" t="0" r="0" b="762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0D9CA0C5" w14:textId="77777777" w:rsidR="00B66DB3" w:rsidRPr="000A1E7D" w:rsidRDefault="00B66DB3" w:rsidP="00B66DB3">
      <w:pPr>
        <w:pStyle w:val="Figure"/>
      </w:pPr>
      <w:bookmarkStart w:id="8" w:name="_Toc90545612"/>
      <w:bookmarkStart w:id="9" w:name="_Toc87526846"/>
      <w:r>
        <w:lastRenderedPageBreak/>
        <w:t>Attribute rankings by a) patients, b) public, and c) professionals</w:t>
      </w:r>
      <w:bookmarkEnd w:id="8"/>
      <w:bookmarkEnd w:id="9"/>
    </w:p>
    <w:p w14:paraId="205A66E8" w14:textId="77777777" w:rsidR="00B66DB3" w:rsidRPr="000A1E7D" w:rsidRDefault="00B66DB3" w:rsidP="00B66DB3">
      <w:r w:rsidRPr="000A1E7D">
        <w:rPr>
          <w:noProof/>
          <w:lang w:eastAsia="es-ES"/>
        </w:rPr>
        <w:drawing>
          <wp:inline distT="0" distB="0" distL="0" distR="0" wp14:anchorId="1E117F17" wp14:editId="2938F0C0">
            <wp:extent cx="5305425" cy="3086100"/>
            <wp:effectExtent l="0" t="0" r="9525" b="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72A8F6C" w14:textId="77777777" w:rsidR="00B66DB3" w:rsidRPr="001327B2" w:rsidRDefault="00B66DB3" w:rsidP="00B66DB3">
      <w:pPr>
        <w:pStyle w:val="Figure"/>
      </w:pPr>
      <w:bookmarkStart w:id="10" w:name="_Toc90545613"/>
      <w:bookmarkStart w:id="11" w:name="_Toc87526847"/>
      <w:r w:rsidRPr="001327B2">
        <w:t>Predicted probabilities of choosing centralised cancer surgery services</w:t>
      </w:r>
      <w:bookmarkEnd w:id="10"/>
      <w:bookmarkEnd w:id="11"/>
    </w:p>
    <w:p w14:paraId="46CD0477" w14:textId="160CC2A4" w:rsidR="00B66DB3" w:rsidRPr="001327B2" w:rsidRDefault="00B66DB3" w:rsidP="00B66DB3">
      <w:pPr>
        <w:rPr>
          <w:sz w:val="22"/>
          <w:szCs w:val="20"/>
        </w:rPr>
      </w:pPr>
      <w:r w:rsidRPr="001327B2">
        <w:rPr>
          <w:sz w:val="22"/>
          <w:szCs w:val="20"/>
        </w:rPr>
        <w:t>Note: MDT: Multi</w:t>
      </w:r>
      <w:r>
        <w:rPr>
          <w:sz w:val="22"/>
          <w:szCs w:val="20"/>
        </w:rPr>
        <w:t>-</w:t>
      </w:r>
      <w:r w:rsidRPr="001327B2">
        <w:rPr>
          <w:sz w:val="22"/>
          <w:szCs w:val="20"/>
        </w:rPr>
        <w:t>disciplinary teams.</w:t>
      </w:r>
      <w:r w:rsidRPr="00B240A3">
        <w:rPr>
          <w:sz w:val="20"/>
          <w:szCs w:val="18"/>
        </w:rPr>
        <w:t xml:space="preserve"> Adapted from Vallejo-Torres L et al.</w:t>
      </w:r>
      <w:r w:rsidR="00ED719A" w:rsidRPr="00ED719A">
        <w:rPr>
          <w:noProof/>
          <w:sz w:val="20"/>
          <w:szCs w:val="18"/>
          <w:vertAlign w:val="superscript"/>
        </w:rPr>
        <w:t>48</w:t>
      </w:r>
      <w:r w:rsidRPr="00B240A3">
        <w:rPr>
          <w:sz w:val="20"/>
          <w:szCs w:val="18"/>
        </w:rPr>
        <w:t xml:space="preserve"> ©2018 the authors. </w:t>
      </w:r>
      <w:r w:rsidRPr="00B240A3">
        <w:rPr>
          <w:i/>
          <w:iCs/>
          <w:sz w:val="20"/>
          <w:szCs w:val="18"/>
        </w:rPr>
        <w:t>British Journal of Surgery</w:t>
      </w:r>
      <w:r w:rsidRPr="00B240A3">
        <w:rPr>
          <w:sz w:val="20"/>
          <w:szCs w:val="18"/>
        </w:rPr>
        <w:t xml:space="preserve">, published by John Wiley &amp; Sons Ltd. This is an open access article under the terms of the Creative Commons Attribution 4.0 International License (CC BY 4.0), which permits use, distribution and reproduction in any medium, provided the original work is properly cited (see </w:t>
      </w:r>
      <w:r w:rsidRPr="00810618">
        <w:rPr>
          <w:sz w:val="20"/>
          <w:szCs w:val="18"/>
        </w:rPr>
        <w:t>https://creativecommons.org/licenses/by/4.0/</w:t>
      </w:r>
      <w:r w:rsidRPr="00B240A3">
        <w:rPr>
          <w:sz w:val="20"/>
          <w:szCs w:val="18"/>
        </w:rPr>
        <w:t>).</w:t>
      </w:r>
      <w:r w:rsidRPr="00B240A3">
        <w:rPr>
          <w:sz w:val="18"/>
          <w:szCs w:val="16"/>
        </w:rPr>
        <w:t xml:space="preserve"> </w:t>
      </w:r>
    </w:p>
    <w:p w14:paraId="42312817" w14:textId="730D8B7A" w:rsidR="001C466C" w:rsidRDefault="001C466C" w:rsidP="00B66DB3">
      <w:pPr>
        <w:pStyle w:val="Heading3"/>
        <w:ind w:left="0" w:firstLine="0"/>
        <w:rPr>
          <w:lang w:val="en-GB"/>
        </w:rPr>
      </w:pPr>
      <w:r>
        <w:rPr>
          <w:lang w:val="en-GB"/>
        </w:rPr>
        <w:br w:type="page"/>
      </w:r>
    </w:p>
    <w:p w14:paraId="7406D807" w14:textId="77777777" w:rsidR="002F101A" w:rsidRPr="00090850" w:rsidRDefault="002F101A" w:rsidP="002F101A">
      <w:r w:rsidRPr="00090850">
        <w:rPr>
          <w:noProof/>
          <w:lang w:eastAsia="en-GB"/>
        </w:rPr>
        <w:lastRenderedPageBreak/>
        <w:drawing>
          <wp:inline distT="0" distB="0" distL="0" distR="0" wp14:anchorId="36971212" wp14:editId="5C9D0D29">
            <wp:extent cx="5708576" cy="3962400"/>
            <wp:effectExtent l="0" t="0" r="6985" b="0"/>
            <wp:docPr id="6" name="Picture 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9124" cy="3990545"/>
                    </a:xfrm>
                    <a:prstGeom prst="rect">
                      <a:avLst/>
                    </a:prstGeom>
                    <a:noFill/>
                  </pic:spPr>
                </pic:pic>
              </a:graphicData>
            </a:graphic>
          </wp:inline>
        </w:drawing>
      </w:r>
    </w:p>
    <w:p w14:paraId="459A6906" w14:textId="77777777" w:rsidR="002F101A" w:rsidRPr="00090850" w:rsidRDefault="002F101A" w:rsidP="002F101A">
      <w:pPr>
        <w:pStyle w:val="Figure"/>
      </w:pPr>
      <w:bookmarkStart w:id="12" w:name="_Toc90545614"/>
      <w:bookmarkStart w:id="13" w:name="_Toc87526848"/>
      <w:r w:rsidRPr="00090850">
        <w:t>Influence of ‘attending to history’ on other ‘</w:t>
      </w:r>
      <w:r w:rsidRPr="00090850">
        <w:rPr>
          <w:lang w:val="en-GB"/>
        </w:rPr>
        <w:t xml:space="preserve">simple </w:t>
      </w:r>
      <w:r w:rsidRPr="00090850">
        <w:t>rules’ for MSC</w:t>
      </w:r>
      <w:bookmarkEnd w:id="12"/>
      <w:bookmarkEnd w:id="13"/>
    </w:p>
    <w:p w14:paraId="4FBBD4FC" w14:textId="6D41B553" w:rsidR="001C466C" w:rsidRDefault="001C466C" w:rsidP="002F101A">
      <w:pPr>
        <w:pStyle w:val="Heading3"/>
        <w:rPr>
          <w:lang w:val="en-GB"/>
        </w:rPr>
      </w:pPr>
      <w:bookmarkStart w:id="14" w:name="_Toc71727072"/>
      <w:r>
        <w:rPr>
          <w:lang w:val="en-GB"/>
        </w:rPr>
        <w:br w:type="page"/>
      </w:r>
    </w:p>
    <w:bookmarkEnd w:id="14"/>
    <w:p w14:paraId="0748CE17" w14:textId="77777777" w:rsidR="00414CE4" w:rsidRDefault="00414CE4" w:rsidP="00414CE4">
      <w:pPr>
        <w:pStyle w:val="Figure"/>
        <w:numPr>
          <w:ilvl w:val="0"/>
          <w:numId w:val="0"/>
        </w:numPr>
      </w:pPr>
    </w:p>
    <w:p w14:paraId="0F16EA60" w14:textId="77777777" w:rsidR="00414CE4" w:rsidRPr="00B621F8" w:rsidRDefault="00414CE4" w:rsidP="00414CE4">
      <w:r w:rsidRPr="00003B7D">
        <w:rPr>
          <w:noProof/>
          <w:lang w:eastAsia="en-GB"/>
        </w:rPr>
        <w:drawing>
          <wp:inline distT="0" distB="0" distL="0" distR="0" wp14:anchorId="65784F0E" wp14:editId="537DBF53">
            <wp:extent cx="5731510" cy="2416889"/>
            <wp:effectExtent l="0" t="0" r="2540" b="254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2416889"/>
                    </a:xfrm>
                    <a:prstGeom prst="rect">
                      <a:avLst/>
                    </a:prstGeom>
                    <a:noFill/>
                  </pic:spPr>
                </pic:pic>
              </a:graphicData>
            </a:graphic>
          </wp:inline>
        </w:drawing>
      </w:r>
    </w:p>
    <w:p w14:paraId="7D2A2A2E" w14:textId="77777777" w:rsidR="00414CE4" w:rsidRDefault="00414CE4" w:rsidP="00414CE4">
      <w:pPr>
        <w:pStyle w:val="Figure"/>
      </w:pPr>
      <w:bookmarkStart w:id="15" w:name="_Toc90545615"/>
      <w:bookmarkStart w:id="16" w:name="_Toc87526849"/>
      <w:bookmarkStart w:id="17" w:name="_Toc71727088"/>
      <w:r>
        <w:rPr>
          <w:lang w:val="en-GB"/>
        </w:rPr>
        <w:t>Relationships</w:t>
      </w:r>
      <w:r>
        <w:t xml:space="preserve"> between subtractive change, emotional repercussions and support offered</w:t>
      </w:r>
      <w:bookmarkEnd w:id="15"/>
      <w:bookmarkEnd w:id="16"/>
    </w:p>
    <w:p w14:paraId="55A12796" w14:textId="2D7EDBC5" w:rsidR="001C466C" w:rsidRDefault="001C466C" w:rsidP="00414CE4">
      <w:pPr>
        <w:pStyle w:val="Heading3"/>
      </w:pPr>
      <w:r>
        <w:br w:type="page"/>
      </w:r>
    </w:p>
    <w:bookmarkEnd w:id="17"/>
    <w:p w14:paraId="5CF4096A" w14:textId="77777777" w:rsidR="0045274A" w:rsidRPr="00BB4EA3" w:rsidRDefault="0045274A" w:rsidP="0045274A">
      <w:pPr>
        <w:rPr>
          <w:szCs w:val="24"/>
        </w:rPr>
      </w:pPr>
      <w:r>
        <w:rPr>
          <w:noProof/>
          <w:szCs w:val="24"/>
        </w:rPr>
        <w:lastRenderedPageBreak/>
        <w:drawing>
          <wp:inline distT="0" distB="0" distL="0" distR="0" wp14:anchorId="40CCAB1B" wp14:editId="06CCF9F0">
            <wp:extent cx="5337544" cy="7516284"/>
            <wp:effectExtent l="0" t="0" r="0" b="889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4251" cy="7567974"/>
                    </a:xfrm>
                    <a:prstGeom prst="rect">
                      <a:avLst/>
                    </a:prstGeom>
                    <a:noFill/>
                  </pic:spPr>
                </pic:pic>
              </a:graphicData>
            </a:graphic>
          </wp:inline>
        </w:drawing>
      </w:r>
    </w:p>
    <w:p w14:paraId="191A1C19" w14:textId="77777777" w:rsidR="0045274A" w:rsidRPr="00BB4EA3" w:rsidRDefault="0045274A" w:rsidP="0045274A">
      <w:pPr>
        <w:pStyle w:val="Figure"/>
      </w:pPr>
      <w:bookmarkStart w:id="18" w:name="_Toc90545616"/>
      <w:bookmarkStart w:id="19" w:name="_Toc87526850"/>
      <w:r w:rsidRPr="00BB4EA3">
        <w:t>Framework and principles of implementation cost analysis in MSC</w:t>
      </w:r>
      <w:bookmarkEnd w:id="18"/>
      <w:bookmarkEnd w:id="19"/>
    </w:p>
    <w:p w14:paraId="19B4B6D6" w14:textId="4CF8F04B" w:rsidR="001C466C" w:rsidRDefault="0045274A" w:rsidP="0045274A">
      <w:pPr>
        <w:rPr>
          <w:sz w:val="20"/>
          <w:szCs w:val="18"/>
        </w:rPr>
      </w:pPr>
      <w:r>
        <w:rPr>
          <w:sz w:val="20"/>
          <w:szCs w:val="18"/>
        </w:rPr>
        <w:t xml:space="preserve">Note. </w:t>
      </w:r>
      <w:r w:rsidRPr="00FA68C3">
        <w:rPr>
          <w:sz w:val="20"/>
          <w:szCs w:val="18"/>
        </w:rPr>
        <w:t>Adapted from Clarke et al.,</w:t>
      </w:r>
      <w:r w:rsidR="00EB3DB1" w:rsidRPr="00EB3DB1">
        <w:rPr>
          <w:noProof/>
          <w:sz w:val="20"/>
          <w:szCs w:val="18"/>
          <w:vertAlign w:val="superscript"/>
        </w:rPr>
        <w:t>136</w:t>
      </w:r>
      <w:r w:rsidRPr="00E103DF">
        <w:rPr>
          <w:sz w:val="20"/>
          <w:szCs w:val="18"/>
        </w:rPr>
        <w:t xml:space="preserve"> </w:t>
      </w:r>
      <w:r>
        <w:rPr>
          <w:sz w:val="20"/>
          <w:szCs w:val="18"/>
        </w:rPr>
        <w:t>© the authors.</w:t>
      </w:r>
      <w:r w:rsidRPr="00FA68C3">
        <w:rPr>
          <w:sz w:val="20"/>
          <w:szCs w:val="18"/>
        </w:rPr>
        <w:t xml:space="preserve"> </w:t>
      </w:r>
      <w:r w:rsidRPr="00FA68C3">
        <w:rPr>
          <w:i/>
          <w:iCs/>
          <w:sz w:val="20"/>
          <w:szCs w:val="18"/>
        </w:rPr>
        <w:t>Applied Health Economics and Health Policy.</w:t>
      </w:r>
      <w:r w:rsidRPr="00FA68C3">
        <w:rPr>
          <w:sz w:val="20"/>
          <w:szCs w:val="18"/>
        </w:rPr>
        <w:t xml:space="preserve"> This is an open access article under the terms of the Creative Commons Attribution 4.0 International License (CC BY 4.0), which permits use, distribution and reproduction in any medium, provided the original work is properly cited (see </w:t>
      </w:r>
      <w:r w:rsidRPr="00810618">
        <w:rPr>
          <w:sz w:val="20"/>
          <w:szCs w:val="18"/>
        </w:rPr>
        <w:t>https://creativecommons.org/licenses/by/4.0/</w:t>
      </w:r>
      <w:r w:rsidRPr="00FA68C3">
        <w:rPr>
          <w:sz w:val="20"/>
          <w:szCs w:val="18"/>
        </w:rPr>
        <w:t>).</w:t>
      </w:r>
      <w:r w:rsidR="001C466C">
        <w:rPr>
          <w:sz w:val="20"/>
          <w:szCs w:val="18"/>
        </w:rPr>
        <w:br w:type="page"/>
      </w:r>
    </w:p>
    <w:p w14:paraId="4C76F27E" w14:textId="64344565" w:rsidR="00CC29DE" w:rsidRDefault="00CC29DE" w:rsidP="00EE4591">
      <w:r w:rsidRPr="006D3E4D">
        <w:rPr>
          <w:rFonts w:cstheme="minorHAnsi"/>
          <w:noProof/>
          <w:szCs w:val="24"/>
          <w:lang w:eastAsia="en-GB"/>
        </w:rPr>
        <w:lastRenderedPageBreak/>
        <w:drawing>
          <wp:inline distT="0" distB="0" distL="0" distR="0" wp14:anchorId="4457159F" wp14:editId="557795CE">
            <wp:extent cx="5731510" cy="1740547"/>
            <wp:effectExtent l="0" t="0" r="254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3"/>
                    <a:stretch>
                      <a:fillRect/>
                    </a:stretch>
                  </pic:blipFill>
                  <pic:spPr>
                    <a:xfrm>
                      <a:off x="0" y="0"/>
                      <a:ext cx="5731510" cy="1740547"/>
                    </a:xfrm>
                    <a:prstGeom prst="rect">
                      <a:avLst/>
                    </a:prstGeom>
                  </pic:spPr>
                </pic:pic>
              </a:graphicData>
            </a:graphic>
          </wp:inline>
        </w:drawing>
      </w:r>
    </w:p>
    <w:p w14:paraId="125BD6A5" w14:textId="3FD855E9" w:rsidR="00CC29DE" w:rsidRDefault="00CC29DE" w:rsidP="00CC29DE">
      <w:pPr>
        <w:pStyle w:val="Figure"/>
      </w:pPr>
      <w:bookmarkStart w:id="20" w:name="_Toc90545617"/>
      <w:bookmarkStart w:id="21" w:name="_Toc87526851"/>
      <w:r w:rsidRPr="006D3E4D">
        <w:t>Illustrations of the model structures for each of the four cancers. Length of decision tree was 90 days for prostate, and 30 days for bladder, renal and OG</w:t>
      </w:r>
      <w:bookmarkEnd w:id="20"/>
      <w:bookmarkEnd w:id="21"/>
    </w:p>
    <w:p w14:paraId="3DCA58B3" w14:textId="73212610" w:rsidR="001C466C" w:rsidRDefault="001C466C" w:rsidP="00EE4591">
      <w:r>
        <w:br w:type="page"/>
      </w:r>
    </w:p>
    <w:p w14:paraId="4FD20980" w14:textId="78073B55" w:rsidR="00EE4591" w:rsidRDefault="00EE4591" w:rsidP="00EE4591">
      <w:pPr>
        <w:spacing w:line="276" w:lineRule="auto"/>
        <w:rPr>
          <w:rFonts w:cstheme="minorHAnsi"/>
          <w:b/>
          <w:bCs/>
          <w:szCs w:val="24"/>
        </w:rPr>
      </w:pPr>
      <w:r w:rsidRPr="00B96626">
        <w:rPr>
          <w:noProof/>
        </w:rPr>
        <w:lastRenderedPageBreak/>
        <w:drawing>
          <wp:inline distT="0" distB="0" distL="0" distR="0" wp14:anchorId="3E267801" wp14:editId="64D6A28A">
            <wp:extent cx="5731510" cy="3217545"/>
            <wp:effectExtent l="0" t="0" r="2540" b="1905"/>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4"/>
                    <a:stretch>
                      <a:fillRect/>
                    </a:stretch>
                  </pic:blipFill>
                  <pic:spPr>
                    <a:xfrm>
                      <a:off x="0" y="0"/>
                      <a:ext cx="5731510" cy="3217545"/>
                    </a:xfrm>
                    <a:prstGeom prst="rect">
                      <a:avLst/>
                    </a:prstGeom>
                  </pic:spPr>
                </pic:pic>
              </a:graphicData>
            </a:graphic>
          </wp:inline>
        </w:drawing>
      </w:r>
    </w:p>
    <w:p w14:paraId="559C35DB" w14:textId="207A152E" w:rsidR="005C21F4" w:rsidRPr="0046602C" w:rsidRDefault="005C21F4" w:rsidP="0046602C">
      <w:pPr>
        <w:pStyle w:val="Figure"/>
        <w:rPr>
          <w:lang w:val="en-US"/>
        </w:rPr>
      </w:pPr>
      <w:bookmarkStart w:id="22" w:name="_Toc90545618"/>
      <w:bookmarkStart w:id="23" w:name="_Toc87526852"/>
      <w:r w:rsidRPr="00B81712">
        <w:t>Cost-effectiveness plane</w:t>
      </w:r>
      <w:r>
        <w:t xml:space="preserve"> for </w:t>
      </w:r>
      <w:r>
        <w:rPr>
          <w:lang w:val="en-GB"/>
        </w:rPr>
        <w:t>prostate</w:t>
      </w:r>
      <w:r>
        <w:rPr>
          <w:lang w:val="en-US"/>
        </w:rPr>
        <w:t>, including implementation costs</w:t>
      </w:r>
      <w:bookmarkEnd w:id="22"/>
      <w:bookmarkEnd w:id="23"/>
      <w:r w:rsidR="0046602C">
        <w:rPr>
          <w:lang w:val="en-US"/>
        </w:rPr>
        <w:br w:type="page"/>
      </w:r>
    </w:p>
    <w:p w14:paraId="47C35DF9" w14:textId="38E7064D" w:rsidR="00EE4591" w:rsidRDefault="00EE4591" w:rsidP="00EE4591">
      <w:pPr>
        <w:spacing w:line="276" w:lineRule="auto"/>
        <w:rPr>
          <w:rFonts w:cstheme="minorHAnsi"/>
          <w:b/>
          <w:bCs/>
          <w:szCs w:val="24"/>
        </w:rPr>
      </w:pPr>
      <w:r w:rsidRPr="00806D10">
        <w:rPr>
          <w:noProof/>
        </w:rPr>
        <w:lastRenderedPageBreak/>
        <w:drawing>
          <wp:inline distT="0" distB="0" distL="0" distR="0" wp14:anchorId="192682B8" wp14:editId="7571869C">
            <wp:extent cx="5731510" cy="3549015"/>
            <wp:effectExtent l="0" t="0" r="2540" b="0"/>
            <wp:docPr id="2" name="Picture 2"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 scatter chart&#10;&#10;Description automatically generated"/>
                    <pic:cNvPicPr/>
                  </pic:nvPicPr>
                  <pic:blipFill>
                    <a:blip r:embed="rId25"/>
                    <a:stretch>
                      <a:fillRect/>
                    </a:stretch>
                  </pic:blipFill>
                  <pic:spPr>
                    <a:xfrm>
                      <a:off x="0" y="0"/>
                      <a:ext cx="5731510" cy="3549015"/>
                    </a:xfrm>
                    <a:prstGeom prst="rect">
                      <a:avLst/>
                    </a:prstGeom>
                  </pic:spPr>
                </pic:pic>
              </a:graphicData>
            </a:graphic>
          </wp:inline>
        </w:drawing>
      </w:r>
    </w:p>
    <w:p w14:paraId="0BCB2DF4" w14:textId="5F368689" w:rsidR="005C21F4" w:rsidRPr="0046602C" w:rsidRDefault="005C21F4" w:rsidP="0046602C">
      <w:pPr>
        <w:pStyle w:val="Figure"/>
        <w:rPr>
          <w:lang w:val="en-US"/>
        </w:rPr>
      </w:pPr>
      <w:bookmarkStart w:id="24" w:name="_Toc90545619"/>
      <w:bookmarkStart w:id="25" w:name="_Toc87526853"/>
      <w:r w:rsidRPr="00B81712">
        <w:t>C</w:t>
      </w:r>
      <w:r>
        <w:t>ost-effectiveness acceptability curve (CEAC) for prostate</w:t>
      </w:r>
      <w:r w:rsidRPr="005C21F4">
        <w:rPr>
          <w:lang w:val="en-US"/>
        </w:rPr>
        <w:t>, including implementation costs</w:t>
      </w:r>
      <w:bookmarkEnd w:id="24"/>
      <w:bookmarkEnd w:id="25"/>
      <w:r w:rsidR="0046602C">
        <w:rPr>
          <w:lang w:val="en-US"/>
        </w:rPr>
        <w:br w:type="page"/>
      </w:r>
    </w:p>
    <w:p w14:paraId="13887793" w14:textId="77777777" w:rsidR="00CA2664" w:rsidRDefault="00CA2664" w:rsidP="00EE4591">
      <w:pPr>
        <w:spacing w:line="276" w:lineRule="auto"/>
        <w:rPr>
          <w:noProof/>
        </w:rPr>
      </w:pPr>
    </w:p>
    <w:p w14:paraId="7DECC475" w14:textId="77777777" w:rsidR="00CA2664" w:rsidRDefault="00CA2664" w:rsidP="00EE4591">
      <w:pPr>
        <w:spacing w:line="276" w:lineRule="auto"/>
        <w:rPr>
          <w:noProof/>
        </w:rPr>
      </w:pPr>
    </w:p>
    <w:p w14:paraId="654E3A65" w14:textId="77777777" w:rsidR="00CA2664" w:rsidRDefault="00CA2664" w:rsidP="00EE4591">
      <w:pPr>
        <w:spacing w:line="276" w:lineRule="auto"/>
        <w:rPr>
          <w:noProof/>
        </w:rPr>
      </w:pPr>
    </w:p>
    <w:p w14:paraId="2CF8F792" w14:textId="77777777" w:rsidR="00EE4591" w:rsidRDefault="00EE4591" w:rsidP="00EE4591">
      <w:pPr>
        <w:spacing w:line="276" w:lineRule="auto"/>
        <w:rPr>
          <w:noProof/>
        </w:rPr>
      </w:pPr>
      <w:r w:rsidRPr="00D611CE">
        <w:rPr>
          <w:noProof/>
        </w:rPr>
        <w:drawing>
          <wp:inline distT="0" distB="0" distL="0" distR="0" wp14:anchorId="1F46109A" wp14:editId="5DF79638">
            <wp:extent cx="5731510" cy="3241675"/>
            <wp:effectExtent l="0" t="0" r="2540" b="0"/>
            <wp:docPr id="3"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catter chart&#10;&#10;Description automatically generated"/>
                    <pic:cNvPicPr/>
                  </pic:nvPicPr>
                  <pic:blipFill>
                    <a:blip r:embed="rId26"/>
                    <a:stretch>
                      <a:fillRect/>
                    </a:stretch>
                  </pic:blipFill>
                  <pic:spPr>
                    <a:xfrm>
                      <a:off x="0" y="0"/>
                      <a:ext cx="5731510" cy="3241675"/>
                    </a:xfrm>
                    <a:prstGeom prst="rect">
                      <a:avLst/>
                    </a:prstGeom>
                  </pic:spPr>
                </pic:pic>
              </a:graphicData>
            </a:graphic>
          </wp:inline>
        </w:drawing>
      </w:r>
      <w:r w:rsidRPr="00601A22">
        <w:rPr>
          <w:noProof/>
        </w:rPr>
        <w:t xml:space="preserve"> </w:t>
      </w:r>
    </w:p>
    <w:p w14:paraId="013A3F93" w14:textId="4B9FAC53" w:rsidR="00862FCD" w:rsidRDefault="00862FCD" w:rsidP="00862FCD">
      <w:pPr>
        <w:pStyle w:val="Figure"/>
        <w:rPr>
          <w:noProof/>
        </w:rPr>
      </w:pPr>
      <w:bookmarkStart w:id="26" w:name="_Toc90545620"/>
      <w:bookmarkStart w:id="27" w:name="_Toc87526854"/>
      <w:r w:rsidRPr="00B81712">
        <w:t>Cost-effectiveness plane</w:t>
      </w:r>
      <w:r>
        <w:t xml:space="preserve"> for bladder</w:t>
      </w:r>
      <w:r>
        <w:rPr>
          <w:lang w:val="en-US"/>
        </w:rPr>
        <w:t>, including implementation costs</w:t>
      </w:r>
      <w:bookmarkEnd w:id="26"/>
      <w:bookmarkEnd w:id="27"/>
    </w:p>
    <w:p w14:paraId="60A417F7" w14:textId="6AAEFF94" w:rsidR="0046602C" w:rsidRDefault="0046602C" w:rsidP="00EE4591">
      <w:pPr>
        <w:spacing w:line="276" w:lineRule="auto"/>
        <w:rPr>
          <w:noProof/>
        </w:rPr>
      </w:pPr>
      <w:r>
        <w:rPr>
          <w:noProof/>
        </w:rPr>
        <w:br w:type="page"/>
      </w:r>
    </w:p>
    <w:p w14:paraId="568FC26E" w14:textId="77777777" w:rsidR="00CA2664" w:rsidRDefault="00CA2664" w:rsidP="00EE4591">
      <w:pPr>
        <w:spacing w:line="276" w:lineRule="auto"/>
        <w:rPr>
          <w:noProof/>
        </w:rPr>
      </w:pPr>
    </w:p>
    <w:p w14:paraId="38118AF0" w14:textId="140BE4F1" w:rsidR="00862FCD" w:rsidRDefault="00862FCD" w:rsidP="00EE4591">
      <w:pPr>
        <w:spacing w:line="276" w:lineRule="auto"/>
        <w:rPr>
          <w:noProof/>
        </w:rPr>
      </w:pPr>
      <w:r w:rsidRPr="007A0707">
        <w:rPr>
          <w:noProof/>
        </w:rPr>
        <w:drawing>
          <wp:inline distT="0" distB="0" distL="0" distR="0" wp14:anchorId="275ABD88" wp14:editId="31ED0841">
            <wp:extent cx="5731510" cy="3569335"/>
            <wp:effectExtent l="0" t="0" r="254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27"/>
                    <a:stretch>
                      <a:fillRect/>
                    </a:stretch>
                  </pic:blipFill>
                  <pic:spPr>
                    <a:xfrm>
                      <a:off x="0" y="0"/>
                      <a:ext cx="5731510" cy="3569335"/>
                    </a:xfrm>
                    <a:prstGeom prst="rect">
                      <a:avLst/>
                    </a:prstGeom>
                  </pic:spPr>
                </pic:pic>
              </a:graphicData>
            </a:graphic>
          </wp:inline>
        </w:drawing>
      </w:r>
    </w:p>
    <w:p w14:paraId="5383361B" w14:textId="6422E4DA" w:rsidR="005C21F4" w:rsidRPr="0046602C" w:rsidRDefault="005C21F4" w:rsidP="005C21F4">
      <w:pPr>
        <w:pStyle w:val="Figure"/>
        <w:rPr>
          <w:rFonts w:cstheme="minorHAnsi"/>
          <w:bCs/>
          <w:szCs w:val="24"/>
        </w:rPr>
      </w:pPr>
      <w:bookmarkStart w:id="28" w:name="_Toc90545621"/>
      <w:bookmarkStart w:id="29" w:name="_Toc87526855"/>
      <w:r>
        <w:t>CEAC for bladder</w:t>
      </w:r>
      <w:r w:rsidRPr="005C21F4">
        <w:t>, including implementation costs</w:t>
      </w:r>
      <w:bookmarkEnd w:id="28"/>
      <w:bookmarkEnd w:id="29"/>
    </w:p>
    <w:p w14:paraId="29B278CE" w14:textId="7DEE7B94" w:rsidR="0046602C" w:rsidRDefault="0046602C" w:rsidP="0046602C">
      <w:pPr>
        <w:pStyle w:val="Figure"/>
        <w:numPr>
          <w:ilvl w:val="0"/>
          <w:numId w:val="0"/>
        </w:numPr>
      </w:pPr>
      <w:r>
        <w:br w:type="page"/>
      </w:r>
    </w:p>
    <w:p w14:paraId="4107D6C0" w14:textId="77777777" w:rsidR="0046602C" w:rsidRDefault="0046602C" w:rsidP="0046602C">
      <w:pPr>
        <w:pStyle w:val="Figure"/>
        <w:numPr>
          <w:ilvl w:val="0"/>
          <w:numId w:val="0"/>
        </w:numPr>
        <w:rPr>
          <w:rFonts w:cstheme="minorHAnsi"/>
          <w:bCs/>
          <w:szCs w:val="24"/>
        </w:rPr>
      </w:pPr>
    </w:p>
    <w:p w14:paraId="05C99A1A" w14:textId="22298E72" w:rsidR="005C21F4" w:rsidRDefault="00EE4591" w:rsidP="00EE4591">
      <w:pPr>
        <w:spacing w:line="276" w:lineRule="auto"/>
        <w:rPr>
          <w:noProof/>
        </w:rPr>
      </w:pPr>
      <w:r w:rsidRPr="0012724A">
        <w:rPr>
          <w:noProof/>
        </w:rPr>
        <w:drawing>
          <wp:inline distT="0" distB="0" distL="0" distR="0" wp14:anchorId="438E8D8A" wp14:editId="4ED8CBD6">
            <wp:extent cx="5731510" cy="3250565"/>
            <wp:effectExtent l="0" t="0" r="2540" b="6985"/>
            <wp:docPr id="27" name="Picture 2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pic:nvPicPr>
                  <pic:blipFill>
                    <a:blip r:embed="rId28"/>
                    <a:stretch>
                      <a:fillRect/>
                    </a:stretch>
                  </pic:blipFill>
                  <pic:spPr>
                    <a:xfrm>
                      <a:off x="0" y="0"/>
                      <a:ext cx="5731510" cy="3250565"/>
                    </a:xfrm>
                    <a:prstGeom prst="rect">
                      <a:avLst/>
                    </a:prstGeom>
                  </pic:spPr>
                </pic:pic>
              </a:graphicData>
            </a:graphic>
          </wp:inline>
        </w:drawing>
      </w:r>
      <w:r w:rsidRPr="00601A22">
        <w:rPr>
          <w:noProof/>
        </w:rPr>
        <w:t xml:space="preserve"> </w:t>
      </w:r>
    </w:p>
    <w:p w14:paraId="2F4A6B54" w14:textId="64C6527F" w:rsidR="005C21F4" w:rsidRPr="0046602C" w:rsidRDefault="005C21F4" w:rsidP="005C21F4">
      <w:pPr>
        <w:pStyle w:val="Figure"/>
        <w:rPr>
          <w:noProof/>
        </w:rPr>
      </w:pPr>
      <w:bookmarkStart w:id="30" w:name="_Toc90545622"/>
      <w:bookmarkStart w:id="31" w:name="_Toc87526856"/>
      <w:r w:rsidRPr="00B81712">
        <w:t>Cost-effectiveness plane</w:t>
      </w:r>
      <w:r>
        <w:t xml:space="preserve"> for renal</w:t>
      </w:r>
      <w:r>
        <w:rPr>
          <w:lang w:val="en-US"/>
        </w:rPr>
        <w:t>, including implementation costs</w:t>
      </w:r>
      <w:bookmarkEnd w:id="30"/>
      <w:bookmarkEnd w:id="31"/>
    </w:p>
    <w:p w14:paraId="2757CEAB" w14:textId="1681A98B" w:rsidR="0046602C" w:rsidRDefault="0046602C" w:rsidP="0046602C">
      <w:pPr>
        <w:pStyle w:val="Figure"/>
        <w:numPr>
          <w:ilvl w:val="0"/>
          <w:numId w:val="0"/>
        </w:numPr>
        <w:rPr>
          <w:lang w:val="en-US"/>
        </w:rPr>
      </w:pPr>
      <w:r>
        <w:rPr>
          <w:lang w:val="en-US"/>
        </w:rPr>
        <w:br w:type="page"/>
      </w:r>
    </w:p>
    <w:p w14:paraId="0751F55E" w14:textId="77777777" w:rsidR="0046602C" w:rsidRDefault="0046602C" w:rsidP="0046602C">
      <w:pPr>
        <w:pStyle w:val="Figure"/>
        <w:numPr>
          <w:ilvl w:val="0"/>
          <w:numId w:val="0"/>
        </w:numPr>
        <w:rPr>
          <w:noProof/>
        </w:rPr>
      </w:pPr>
    </w:p>
    <w:p w14:paraId="663E54E8" w14:textId="1C54D1AC" w:rsidR="00EE4591" w:rsidRDefault="00EE4591" w:rsidP="00EE4591">
      <w:pPr>
        <w:spacing w:line="276" w:lineRule="auto"/>
        <w:rPr>
          <w:rFonts w:cstheme="minorHAnsi"/>
          <w:b/>
          <w:bCs/>
          <w:szCs w:val="24"/>
        </w:rPr>
      </w:pPr>
      <w:r w:rsidRPr="0012724A">
        <w:rPr>
          <w:noProof/>
        </w:rPr>
        <w:drawing>
          <wp:inline distT="0" distB="0" distL="0" distR="0" wp14:anchorId="6E10AF60" wp14:editId="1124DF87">
            <wp:extent cx="5731510" cy="3549015"/>
            <wp:effectExtent l="0" t="0" r="2540" b="0"/>
            <wp:docPr id="21" name="Picture 2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with medium confidence"/>
                    <pic:cNvPicPr/>
                  </pic:nvPicPr>
                  <pic:blipFill>
                    <a:blip r:embed="rId29"/>
                    <a:stretch>
                      <a:fillRect/>
                    </a:stretch>
                  </pic:blipFill>
                  <pic:spPr>
                    <a:xfrm>
                      <a:off x="0" y="0"/>
                      <a:ext cx="5731510" cy="3549015"/>
                    </a:xfrm>
                    <a:prstGeom prst="rect">
                      <a:avLst/>
                    </a:prstGeom>
                  </pic:spPr>
                </pic:pic>
              </a:graphicData>
            </a:graphic>
          </wp:inline>
        </w:drawing>
      </w:r>
    </w:p>
    <w:p w14:paraId="7CFC6D67" w14:textId="6E3ECFA4" w:rsidR="005C21F4" w:rsidRPr="0046602C" w:rsidRDefault="005C21F4" w:rsidP="005C21F4">
      <w:pPr>
        <w:pStyle w:val="Figure"/>
        <w:rPr>
          <w:rFonts w:cstheme="minorHAnsi"/>
          <w:bCs/>
          <w:szCs w:val="24"/>
        </w:rPr>
      </w:pPr>
      <w:bookmarkStart w:id="32" w:name="_Toc90545623"/>
      <w:bookmarkStart w:id="33" w:name="_Toc87526857"/>
      <w:r>
        <w:t>CEAC for renal</w:t>
      </w:r>
      <w:r w:rsidRPr="005C21F4">
        <w:rPr>
          <w:lang w:val="en-US"/>
        </w:rPr>
        <w:t>, including implementation costs</w:t>
      </w:r>
      <w:bookmarkEnd w:id="32"/>
      <w:bookmarkEnd w:id="33"/>
    </w:p>
    <w:p w14:paraId="7AB0C521" w14:textId="6A900E41" w:rsidR="0046602C" w:rsidRDefault="0046602C" w:rsidP="0046602C">
      <w:pPr>
        <w:pStyle w:val="Figure"/>
        <w:numPr>
          <w:ilvl w:val="0"/>
          <w:numId w:val="0"/>
        </w:numPr>
        <w:rPr>
          <w:lang w:val="en-US"/>
        </w:rPr>
      </w:pPr>
      <w:r>
        <w:rPr>
          <w:lang w:val="en-US"/>
        </w:rPr>
        <w:br w:type="page"/>
      </w:r>
    </w:p>
    <w:p w14:paraId="337FC2CF" w14:textId="77777777" w:rsidR="0046602C" w:rsidRDefault="0046602C" w:rsidP="0046602C">
      <w:pPr>
        <w:pStyle w:val="Figure"/>
        <w:numPr>
          <w:ilvl w:val="0"/>
          <w:numId w:val="0"/>
        </w:numPr>
        <w:rPr>
          <w:rFonts w:cstheme="minorHAnsi"/>
          <w:bCs/>
          <w:szCs w:val="24"/>
        </w:rPr>
      </w:pPr>
    </w:p>
    <w:p w14:paraId="004C4351" w14:textId="2086D45F" w:rsidR="00EE4591" w:rsidRDefault="00EE4591" w:rsidP="00EE4591">
      <w:pPr>
        <w:spacing w:line="276" w:lineRule="auto"/>
        <w:rPr>
          <w:noProof/>
          <w:lang w:eastAsia="en-GB"/>
        </w:rPr>
      </w:pPr>
      <w:r w:rsidRPr="0012724A">
        <w:rPr>
          <w:noProof/>
        </w:rPr>
        <w:drawing>
          <wp:inline distT="0" distB="0" distL="0" distR="0" wp14:anchorId="4E9FF604" wp14:editId="69ADC53A">
            <wp:extent cx="5731510" cy="3278505"/>
            <wp:effectExtent l="0" t="0" r="2540" b="0"/>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scatter chart&#10;&#10;Description automatically generated"/>
                    <pic:cNvPicPr/>
                  </pic:nvPicPr>
                  <pic:blipFill>
                    <a:blip r:embed="rId30"/>
                    <a:stretch>
                      <a:fillRect/>
                    </a:stretch>
                  </pic:blipFill>
                  <pic:spPr>
                    <a:xfrm>
                      <a:off x="0" y="0"/>
                      <a:ext cx="5731510" cy="3278505"/>
                    </a:xfrm>
                    <a:prstGeom prst="rect">
                      <a:avLst/>
                    </a:prstGeom>
                  </pic:spPr>
                </pic:pic>
              </a:graphicData>
            </a:graphic>
          </wp:inline>
        </w:drawing>
      </w:r>
    </w:p>
    <w:p w14:paraId="6F8E04BB" w14:textId="476147F4" w:rsidR="005C21F4" w:rsidRPr="0046602C" w:rsidRDefault="005C21F4" w:rsidP="005C21F4">
      <w:pPr>
        <w:pStyle w:val="Figure"/>
        <w:rPr>
          <w:noProof/>
          <w:lang w:eastAsia="en-GB"/>
        </w:rPr>
      </w:pPr>
      <w:bookmarkStart w:id="34" w:name="_Toc90545624"/>
      <w:bookmarkStart w:id="35" w:name="_Toc87526858"/>
      <w:r w:rsidRPr="00B81712">
        <w:t>Cost-effectiveness plane</w:t>
      </w:r>
      <w:r>
        <w:t xml:space="preserve"> for OG</w:t>
      </w:r>
      <w:r>
        <w:rPr>
          <w:lang w:val="en-US"/>
        </w:rPr>
        <w:t>, including implementation costs</w:t>
      </w:r>
      <w:bookmarkEnd w:id="34"/>
      <w:bookmarkEnd w:id="35"/>
    </w:p>
    <w:p w14:paraId="7A1243CA" w14:textId="33EA5AA4" w:rsidR="0046602C" w:rsidRDefault="0046602C" w:rsidP="0046602C">
      <w:pPr>
        <w:pStyle w:val="Figure"/>
        <w:numPr>
          <w:ilvl w:val="0"/>
          <w:numId w:val="0"/>
        </w:numPr>
        <w:rPr>
          <w:lang w:val="en-US"/>
        </w:rPr>
      </w:pPr>
      <w:r>
        <w:rPr>
          <w:lang w:val="en-US"/>
        </w:rPr>
        <w:br w:type="page"/>
      </w:r>
    </w:p>
    <w:p w14:paraId="40A4159A" w14:textId="77777777" w:rsidR="0046602C" w:rsidRDefault="0046602C" w:rsidP="0046602C">
      <w:pPr>
        <w:pStyle w:val="Figure"/>
        <w:numPr>
          <w:ilvl w:val="0"/>
          <w:numId w:val="0"/>
        </w:numPr>
        <w:rPr>
          <w:noProof/>
          <w:lang w:eastAsia="en-GB"/>
        </w:rPr>
      </w:pPr>
    </w:p>
    <w:p w14:paraId="08BF37A5" w14:textId="77777777" w:rsidR="00EE4591" w:rsidRDefault="00EE4591" w:rsidP="00EE4591">
      <w:pPr>
        <w:spacing w:line="276" w:lineRule="auto"/>
        <w:rPr>
          <w:rFonts w:cstheme="minorHAnsi"/>
          <w:b/>
          <w:bCs/>
          <w:szCs w:val="24"/>
        </w:rPr>
      </w:pPr>
      <w:r w:rsidRPr="0012724A">
        <w:rPr>
          <w:noProof/>
        </w:rPr>
        <w:drawing>
          <wp:inline distT="0" distB="0" distL="0" distR="0" wp14:anchorId="4A7430BD" wp14:editId="667EA75D">
            <wp:extent cx="5731510" cy="3636010"/>
            <wp:effectExtent l="0" t="0" r="2540" b="254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31"/>
                    <a:stretch>
                      <a:fillRect/>
                    </a:stretch>
                  </pic:blipFill>
                  <pic:spPr>
                    <a:xfrm>
                      <a:off x="0" y="0"/>
                      <a:ext cx="5731510" cy="3636010"/>
                    </a:xfrm>
                    <a:prstGeom prst="rect">
                      <a:avLst/>
                    </a:prstGeom>
                  </pic:spPr>
                </pic:pic>
              </a:graphicData>
            </a:graphic>
          </wp:inline>
        </w:drawing>
      </w:r>
      <w:r w:rsidRPr="00633C0C">
        <w:rPr>
          <w:noProof/>
          <w:lang w:eastAsia="en-GB"/>
        </w:rPr>
        <w:t xml:space="preserve"> </w:t>
      </w:r>
    </w:p>
    <w:p w14:paraId="1FB18308" w14:textId="5BB00735" w:rsidR="005C21F4" w:rsidRDefault="00EE4591" w:rsidP="00935567">
      <w:pPr>
        <w:pStyle w:val="Figure"/>
      </w:pPr>
      <w:bookmarkStart w:id="36" w:name="_Toc90545625"/>
      <w:bookmarkStart w:id="37" w:name="_Toc87526859"/>
      <w:r>
        <w:t>CEAC for OG</w:t>
      </w:r>
      <w:r w:rsidRPr="005C21F4">
        <w:rPr>
          <w:lang w:val="en-US"/>
        </w:rPr>
        <w:t>, including implementation costs</w:t>
      </w:r>
      <w:bookmarkEnd w:id="36"/>
      <w:bookmarkEnd w:id="37"/>
    </w:p>
    <w:p w14:paraId="0B116648" w14:textId="1252361B" w:rsidR="0046602C" w:rsidRDefault="0046602C" w:rsidP="0046602C">
      <w:pPr>
        <w:pStyle w:val="Figure"/>
        <w:numPr>
          <w:ilvl w:val="0"/>
          <w:numId w:val="0"/>
        </w:numPr>
      </w:pPr>
      <w:r>
        <w:br w:type="page"/>
      </w:r>
    </w:p>
    <w:p w14:paraId="138B5235" w14:textId="77777777" w:rsidR="00EE4591" w:rsidRDefault="00EE4591" w:rsidP="00EE4591">
      <w:pPr>
        <w:pStyle w:val="Figure"/>
        <w:numPr>
          <w:ilvl w:val="0"/>
          <w:numId w:val="0"/>
        </w:numPr>
      </w:pPr>
    </w:p>
    <w:p w14:paraId="62DD6FC7" w14:textId="77777777" w:rsidR="00EE4591" w:rsidRDefault="00EE4591" w:rsidP="00EE4591">
      <w:r>
        <w:rPr>
          <w:noProof/>
        </w:rPr>
        <w:drawing>
          <wp:inline distT="0" distB="0" distL="0" distR="0" wp14:anchorId="230BCAEF" wp14:editId="1674ECBF">
            <wp:extent cx="5755005" cy="4170045"/>
            <wp:effectExtent l="0" t="0" r="0" b="1905"/>
            <wp:docPr id="49" name="Picture 4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5005" cy="4170045"/>
                    </a:xfrm>
                    <a:prstGeom prst="rect">
                      <a:avLst/>
                    </a:prstGeom>
                    <a:noFill/>
                  </pic:spPr>
                </pic:pic>
              </a:graphicData>
            </a:graphic>
          </wp:inline>
        </w:drawing>
      </w:r>
    </w:p>
    <w:p w14:paraId="64160BCB" w14:textId="77777777" w:rsidR="00EE4591" w:rsidRPr="0001437D" w:rsidRDefault="00EE4591" w:rsidP="00EE4591">
      <w:pPr>
        <w:pStyle w:val="Figure"/>
      </w:pPr>
      <w:r w:rsidRPr="0001437D">
        <w:t xml:space="preserve"> </w:t>
      </w:r>
      <w:bookmarkStart w:id="38" w:name="_Toc90545626"/>
      <w:bookmarkStart w:id="39" w:name="_Toc87526860"/>
      <w:r w:rsidRPr="0001437D">
        <w:t xml:space="preserve">Simplified summary of </w:t>
      </w:r>
      <w:r w:rsidRPr="0001437D">
        <w:rPr>
          <w:lang w:val="en-GB"/>
        </w:rPr>
        <w:t>significant effects</w:t>
      </w:r>
      <w:r w:rsidRPr="0001437D">
        <w:t xml:space="preserve"> on outcomes</w:t>
      </w:r>
      <w:bookmarkEnd w:id="38"/>
      <w:bookmarkEnd w:id="39"/>
    </w:p>
    <w:p w14:paraId="3CCF572B" w14:textId="2F941854" w:rsidR="0046602C" w:rsidRDefault="00EE4591" w:rsidP="00EE4591">
      <w:pPr>
        <w:rPr>
          <w:i/>
          <w:iCs/>
        </w:rPr>
      </w:pPr>
      <w:r w:rsidRPr="00640F4E">
        <w:rPr>
          <w:i/>
        </w:rPr>
        <w:t xml:space="preserve">Note. Findings drawn from </w:t>
      </w:r>
      <w:r w:rsidRPr="00882E3C">
        <w:rPr>
          <w:iCs/>
        </w:rPr>
        <w:t>Chapters 9</w:t>
      </w:r>
      <w:r w:rsidRPr="00640F4E">
        <w:rPr>
          <w:i/>
        </w:rPr>
        <w:t xml:space="preserve"> and </w:t>
      </w:r>
      <w:r w:rsidRPr="00882E3C">
        <w:rPr>
          <w:iCs/>
        </w:rPr>
        <w:t>10</w:t>
      </w:r>
      <w:r w:rsidRPr="00640F4E">
        <w:rPr>
          <w:i/>
        </w:rPr>
        <w:t xml:space="preserve">. Upward arrows </w:t>
      </w:r>
      <w:r>
        <w:rPr>
          <w:i/>
        </w:rPr>
        <w:t>indicate</w:t>
      </w:r>
      <w:r w:rsidRPr="00640F4E">
        <w:rPr>
          <w:i/>
        </w:rPr>
        <w:t xml:space="preserve"> a significant increase, downward arrows </w:t>
      </w:r>
      <w:r>
        <w:rPr>
          <w:i/>
        </w:rPr>
        <w:t>indicate</w:t>
      </w:r>
      <w:r w:rsidRPr="00640F4E">
        <w:rPr>
          <w:i/>
        </w:rPr>
        <w:t xml:space="preserve"> a significant decrease, and sideways arrows indicate no significant effect. Green indicates a desirable </w:t>
      </w:r>
      <w:r>
        <w:rPr>
          <w:i/>
        </w:rPr>
        <w:t>result</w:t>
      </w:r>
      <w:r w:rsidRPr="00640F4E">
        <w:rPr>
          <w:i/>
        </w:rPr>
        <w:t xml:space="preserve">, red indicates an undesirable </w:t>
      </w:r>
      <w:r>
        <w:rPr>
          <w:i/>
        </w:rPr>
        <w:t>result, and blue indicates no clear direction of change.</w:t>
      </w:r>
      <w:r>
        <w:t xml:space="preserve"> </w:t>
      </w:r>
      <w:r w:rsidRPr="0013674E">
        <w:rPr>
          <w:i/>
          <w:iCs/>
          <w:vertAlign w:val="superscript"/>
        </w:rPr>
        <w:t>1</w:t>
      </w:r>
      <w:r w:rsidRPr="0013674E">
        <w:rPr>
          <w:i/>
          <w:iCs/>
        </w:rPr>
        <w:t>Cost-effectivenes</w:t>
      </w:r>
      <w:r>
        <w:rPr>
          <w:i/>
          <w:iCs/>
        </w:rPr>
        <w:t>s figures present percent likelihood of centralisations being cost-effective, including implementation costs.</w:t>
      </w:r>
      <w:r w:rsidR="0046602C">
        <w:rPr>
          <w:i/>
          <w:iCs/>
        </w:rPr>
        <w:br w:type="page"/>
      </w:r>
    </w:p>
    <w:p w14:paraId="4985B28E" w14:textId="77777777" w:rsidR="00EE4591" w:rsidRDefault="00EE4591" w:rsidP="00EE4591">
      <w:pPr>
        <w:sectPr w:rsidR="00EE4591">
          <w:footerReference w:type="default" r:id="rId33"/>
          <w:pgSz w:w="11906" w:h="16838"/>
          <w:pgMar w:top="1440" w:right="1440" w:bottom="1440" w:left="1440" w:header="708" w:footer="708" w:gutter="0"/>
          <w:cols w:space="708"/>
          <w:docGrid w:linePitch="360"/>
        </w:sectPr>
      </w:pPr>
    </w:p>
    <w:tbl>
      <w:tblPr>
        <w:tblStyle w:val="TableGrid1"/>
        <w:tblW w:w="0" w:type="auto"/>
        <w:tblLayout w:type="fixed"/>
        <w:tblLook w:val="04A0" w:firstRow="1" w:lastRow="0" w:firstColumn="1" w:lastColumn="0" w:noHBand="0" w:noVBand="1"/>
      </w:tblPr>
      <w:tblGrid>
        <w:gridCol w:w="6943"/>
        <w:gridCol w:w="6944"/>
      </w:tblGrid>
      <w:tr w:rsidR="00EE4591" w:rsidRPr="002F4BD4" w14:paraId="18387530" w14:textId="77777777" w:rsidTr="004B7E20">
        <w:tc>
          <w:tcPr>
            <w:tcW w:w="6943" w:type="dxa"/>
          </w:tcPr>
          <w:p w14:paraId="291FBFF6" w14:textId="77777777" w:rsidR="00EE4591" w:rsidRPr="002F4BD4" w:rsidRDefault="00EE4591" w:rsidP="004B7E20">
            <w:pPr>
              <w:spacing w:after="0" w:line="240" w:lineRule="auto"/>
              <w:rPr>
                <w:b/>
                <w:noProof/>
                <w:lang w:eastAsia="en-GB"/>
              </w:rPr>
            </w:pPr>
            <w:r w:rsidRPr="002F4BD4">
              <w:rPr>
                <w:b/>
                <w:noProof/>
                <w:lang w:eastAsia="en-GB"/>
              </w:rPr>
              <w:lastRenderedPageBreak/>
              <w:t>A. Specialist prostate</w:t>
            </w:r>
            <w:r>
              <w:rPr>
                <w:b/>
                <w:noProof/>
                <w:lang w:eastAsia="en-GB"/>
              </w:rPr>
              <w:t xml:space="preserve"> cancer</w:t>
            </w:r>
            <w:r w:rsidRPr="002F4BD4">
              <w:rPr>
                <w:b/>
                <w:noProof/>
                <w:lang w:eastAsia="en-GB"/>
              </w:rPr>
              <w:t xml:space="preserve"> operations by year</w:t>
            </w:r>
          </w:p>
        </w:tc>
        <w:tc>
          <w:tcPr>
            <w:tcW w:w="6944" w:type="dxa"/>
          </w:tcPr>
          <w:p w14:paraId="42141A0E" w14:textId="77777777" w:rsidR="00EE4591" w:rsidRPr="002F4BD4" w:rsidRDefault="00EE4591" w:rsidP="004B7E20">
            <w:pPr>
              <w:spacing w:after="0" w:line="240" w:lineRule="auto"/>
              <w:rPr>
                <w:b/>
              </w:rPr>
            </w:pPr>
            <w:r w:rsidRPr="002F4BD4">
              <w:rPr>
                <w:b/>
              </w:rPr>
              <w:t>B. Specialist bladder</w:t>
            </w:r>
            <w:r>
              <w:rPr>
                <w:b/>
              </w:rPr>
              <w:t xml:space="preserve"> cancer</w:t>
            </w:r>
            <w:r w:rsidRPr="002F4BD4">
              <w:rPr>
                <w:b/>
              </w:rPr>
              <w:t xml:space="preserve"> operations by year</w:t>
            </w:r>
          </w:p>
        </w:tc>
      </w:tr>
      <w:tr w:rsidR="00EE4591" w:rsidRPr="002F4BD4" w14:paraId="7527583A" w14:textId="77777777" w:rsidTr="00C67E6D">
        <w:tc>
          <w:tcPr>
            <w:tcW w:w="6943" w:type="dxa"/>
          </w:tcPr>
          <w:p w14:paraId="48F46DB5" w14:textId="30C3C7FB" w:rsidR="00EE4591" w:rsidRPr="002F4BD4" w:rsidRDefault="00C67E6D" w:rsidP="004B7E20">
            <w:pPr>
              <w:spacing w:after="0" w:line="240" w:lineRule="auto"/>
              <w:jc w:val="center"/>
              <w:rPr>
                <w:b/>
              </w:rPr>
            </w:pPr>
            <w:r>
              <w:rPr>
                <w:noProof/>
              </w:rPr>
              <w:drawing>
                <wp:inline distT="0" distB="0" distL="0" distR="0" wp14:anchorId="61DBB43C" wp14:editId="6FED7550">
                  <wp:extent cx="4210050" cy="2466975"/>
                  <wp:effectExtent l="0" t="0" r="0" b="9525"/>
                  <wp:docPr id="13" name="Chart 1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6944" w:type="dxa"/>
          </w:tcPr>
          <w:p w14:paraId="6421863A" w14:textId="1A83E840" w:rsidR="00EE4591" w:rsidRPr="002F4BD4" w:rsidRDefault="00C67E6D" w:rsidP="004B7E20">
            <w:pPr>
              <w:spacing w:after="0" w:line="240" w:lineRule="auto"/>
              <w:jc w:val="center"/>
              <w:rPr>
                <w:b/>
              </w:rPr>
            </w:pPr>
            <w:r>
              <w:rPr>
                <w:noProof/>
              </w:rPr>
              <w:drawing>
                <wp:inline distT="0" distB="0" distL="0" distR="0" wp14:anchorId="5171A455" wp14:editId="4F440528">
                  <wp:extent cx="4248150" cy="2466975"/>
                  <wp:effectExtent l="0" t="0" r="0" b="9525"/>
                  <wp:docPr id="15" name="Chart 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EE4591" w:rsidRPr="002F4BD4" w14:paraId="7B0D54E8" w14:textId="77777777" w:rsidTr="004B7E20">
        <w:tc>
          <w:tcPr>
            <w:tcW w:w="6943" w:type="dxa"/>
          </w:tcPr>
          <w:p w14:paraId="01709E43" w14:textId="77777777" w:rsidR="00EE4591" w:rsidRPr="002F4BD4" w:rsidRDefault="00EE4591" w:rsidP="004B7E20">
            <w:pPr>
              <w:spacing w:after="0" w:line="240" w:lineRule="auto"/>
              <w:rPr>
                <w:b/>
              </w:rPr>
            </w:pPr>
            <w:r w:rsidRPr="002F4BD4">
              <w:rPr>
                <w:b/>
              </w:rPr>
              <w:t xml:space="preserve">C. Specialist renal cancer operations </w:t>
            </w:r>
            <w:r>
              <w:rPr>
                <w:b/>
              </w:rPr>
              <w:t>by</w:t>
            </w:r>
            <w:r w:rsidRPr="002F4BD4">
              <w:rPr>
                <w:b/>
              </w:rPr>
              <w:t xml:space="preserve"> year</w:t>
            </w:r>
          </w:p>
        </w:tc>
        <w:tc>
          <w:tcPr>
            <w:tcW w:w="6944" w:type="dxa"/>
          </w:tcPr>
          <w:p w14:paraId="5874271C" w14:textId="77777777" w:rsidR="00EE4591" w:rsidRPr="002F4BD4" w:rsidRDefault="00EE4591" w:rsidP="004B7E20">
            <w:pPr>
              <w:spacing w:after="0" w:line="240" w:lineRule="auto"/>
              <w:rPr>
                <w:b/>
              </w:rPr>
            </w:pPr>
            <w:r w:rsidRPr="002F4BD4">
              <w:rPr>
                <w:b/>
              </w:rPr>
              <w:t xml:space="preserve">D. Specialist OG </w:t>
            </w:r>
            <w:r>
              <w:rPr>
                <w:b/>
              </w:rPr>
              <w:t xml:space="preserve">cancer </w:t>
            </w:r>
            <w:r w:rsidRPr="002F4BD4">
              <w:rPr>
                <w:b/>
              </w:rPr>
              <w:t xml:space="preserve">operations </w:t>
            </w:r>
            <w:r>
              <w:rPr>
                <w:b/>
              </w:rPr>
              <w:t>by</w:t>
            </w:r>
            <w:r w:rsidRPr="002F4BD4">
              <w:rPr>
                <w:b/>
              </w:rPr>
              <w:t xml:space="preserve"> year</w:t>
            </w:r>
          </w:p>
        </w:tc>
      </w:tr>
      <w:tr w:rsidR="00EE4591" w:rsidRPr="002F4BD4" w14:paraId="17EEB094" w14:textId="77777777" w:rsidTr="00C67E6D">
        <w:tc>
          <w:tcPr>
            <w:tcW w:w="6943" w:type="dxa"/>
          </w:tcPr>
          <w:p w14:paraId="497F37A0" w14:textId="7A6A5545" w:rsidR="00EE4591" w:rsidRPr="002F4BD4" w:rsidRDefault="00C67E6D" w:rsidP="004B7E20">
            <w:pPr>
              <w:spacing w:after="0" w:line="240" w:lineRule="auto"/>
              <w:jc w:val="center"/>
              <w:rPr>
                <w:b/>
              </w:rPr>
            </w:pPr>
            <w:r>
              <w:rPr>
                <w:noProof/>
              </w:rPr>
              <w:drawing>
                <wp:inline distT="0" distB="0" distL="0" distR="0" wp14:anchorId="5C562F33" wp14:editId="37879CA6">
                  <wp:extent cx="4271645" cy="2653665"/>
                  <wp:effectExtent l="0" t="0" r="14605" b="13335"/>
                  <wp:docPr id="16" name="Chart 16">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6944" w:type="dxa"/>
          </w:tcPr>
          <w:p w14:paraId="3085CBF8" w14:textId="1D3843BD" w:rsidR="00EE4591" w:rsidRPr="002F4BD4" w:rsidRDefault="00C67E6D" w:rsidP="004B7E20">
            <w:pPr>
              <w:spacing w:after="0" w:line="240" w:lineRule="auto"/>
              <w:jc w:val="center"/>
              <w:rPr>
                <w:b/>
              </w:rPr>
            </w:pPr>
            <w:r>
              <w:rPr>
                <w:noProof/>
              </w:rPr>
              <w:drawing>
                <wp:inline distT="0" distB="0" distL="0" distR="0" wp14:anchorId="128B5832" wp14:editId="06C321ED">
                  <wp:extent cx="4272280" cy="2653665"/>
                  <wp:effectExtent l="0" t="0" r="13970" b="13335"/>
                  <wp:docPr id="14" name="Chart 14">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5B6821C7" w14:textId="19036EB0" w:rsidR="00EE4591" w:rsidRDefault="00EE4591" w:rsidP="0046602C">
      <w:pPr>
        <w:pStyle w:val="Figure"/>
      </w:pPr>
      <w:bookmarkStart w:id="40" w:name="_Toc90545627"/>
      <w:bookmarkStart w:id="41" w:name="_Toc87526861"/>
      <w:r w:rsidRPr="008F3F51">
        <w:t>Overview of specialist operations per year, disaggregated by Specialist/Non-specialist Centre status</w:t>
      </w:r>
      <w:bookmarkEnd w:id="40"/>
      <w:bookmarkEnd w:id="41"/>
      <w:r w:rsidR="0046602C">
        <w:br w:type="page"/>
      </w:r>
    </w:p>
    <w:p w14:paraId="5514F6FE" w14:textId="77777777" w:rsidR="00F73F73" w:rsidRDefault="00F73F73" w:rsidP="00F73F73">
      <w:pPr>
        <w:pStyle w:val="Heading3"/>
      </w:pPr>
      <w:r>
        <w:rPr>
          <w:noProof/>
        </w:rPr>
        <w:lastRenderedPageBreak/>
        <w:drawing>
          <wp:inline distT="0" distB="0" distL="0" distR="0" wp14:anchorId="5BE97782" wp14:editId="269A9F21">
            <wp:extent cx="8880185" cy="4229100"/>
            <wp:effectExtent l="0" t="0" r="0" b="0"/>
            <wp:docPr id="29" name="Picture 2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890227" cy="4233883"/>
                    </a:xfrm>
                    <a:prstGeom prst="rect">
                      <a:avLst/>
                    </a:prstGeom>
                    <a:noFill/>
                  </pic:spPr>
                </pic:pic>
              </a:graphicData>
            </a:graphic>
          </wp:inline>
        </w:drawing>
      </w:r>
    </w:p>
    <w:p w14:paraId="68D48FD5" w14:textId="091844A4" w:rsidR="0046602C" w:rsidRDefault="00F73F73" w:rsidP="0046602C">
      <w:pPr>
        <w:pStyle w:val="Figure"/>
      </w:pPr>
      <w:bookmarkStart w:id="42" w:name="_Toc90545628"/>
      <w:bookmarkStart w:id="43" w:name="_Toc87526862"/>
      <w:r>
        <w:rPr>
          <w:lang w:val="en-GB"/>
        </w:rPr>
        <w:t>Overview of f</w:t>
      </w:r>
      <w:r>
        <w:t>actors influencing progress of urology MSC in LC and GMC</w:t>
      </w:r>
      <w:bookmarkEnd w:id="42"/>
      <w:bookmarkEnd w:id="43"/>
      <w:r w:rsidR="0046602C">
        <w:br w:type="page"/>
      </w:r>
    </w:p>
    <w:p w14:paraId="5F177997" w14:textId="259E9234" w:rsidR="00EE4591" w:rsidRDefault="00615C53" w:rsidP="0046602C">
      <w:pPr>
        <w:pStyle w:val="Figure"/>
        <w:numPr>
          <w:ilvl w:val="0"/>
          <w:numId w:val="0"/>
        </w:numPr>
        <w:rPr>
          <w:noProof/>
        </w:rPr>
      </w:pPr>
      <w:r>
        <w:rPr>
          <w:noProof/>
        </w:rPr>
        <w:lastRenderedPageBreak/>
        <w:drawing>
          <wp:inline distT="0" distB="0" distL="0" distR="0" wp14:anchorId="0B4D9EF3" wp14:editId="0BF65DDF">
            <wp:extent cx="9020175" cy="4753419"/>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43924" cy="4765934"/>
                    </a:xfrm>
                    <a:prstGeom prst="rect">
                      <a:avLst/>
                    </a:prstGeom>
                    <a:noFill/>
                  </pic:spPr>
                </pic:pic>
              </a:graphicData>
            </a:graphic>
          </wp:inline>
        </w:drawing>
      </w:r>
    </w:p>
    <w:p w14:paraId="42187A5B" w14:textId="401AD4AB" w:rsidR="002E6130" w:rsidRDefault="002E6130" w:rsidP="002E6130">
      <w:pPr>
        <w:pStyle w:val="Figure"/>
        <w:rPr>
          <w:noProof/>
        </w:rPr>
      </w:pPr>
      <w:bookmarkStart w:id="44" w:name="_Toc90545629"/>
      <w:bookmarkStart w:id="45" w:name="_Toc87526863"/>
      <w:r>
        <w:t>Summary of findings organised by our framework for understanding MSC</w:t>
      </w:r>
      <w:bookmarkEnd w:id="44"/>
      <w:bookmarkEnd w:id="45"/>
    </w:p>
    <w:p w14:paraId="43CB21CF" w14:textId="6AAF3880" w:rsidR="00615C53" w:rsidRPr="008C04D6" w:rsidRDefault="00615C53" w:rsidP="00EE4591">
      <w:pPr>
        <w:sectPr w:rsidR="00615C53" w:rsidRPr="008C04D6" w:rsidSect="009B6F50">
          <w:footerReference w:type="default" r:id="rId40"/>
          <w:pgSz w:w="16838" w:h="11906" w:orient="landscape"/>
          <w:pgMar w:top="1440" w:right="1440" w:bottom="1440" w:left="1440" w:header="708" w:footer="708" w:gutter="0"/>
          <w:cols w:space="708"/>
          <w:docGrid w:linePitch="360"/>
        </w:sectPr>
      </w:pPr>
    </w:p>
    <w:p w14:paraId="1505F326" w14:textId="77777777" w:rsidR="00C8469D" w:rsidRDefault="00C8469D" w:rsidP="00C8469D">
      <w:pPr>
        <w:spacing w:line="276" w:lineRule="auto"/>
        <w:rPr>
          <w:rFonts w:cstheme="minorHAnsi"/>
          <w:szCs w:val="24"/>
        </w:rPr>
      </w:pPr>
      <w:bookmarkStart w:id="46" w:name="_Toc45120126"/>
      <w:r w:rsidRPr="00B57BEB">
        <w:rPr>
          <w:rFonts w:cstheme="minorHAnsi"/>
          <w:noProof/>
        </w:rPr>
        <w:lastRenderedPageBreak/>
        <w:drawing>
          <wp:inline distT="0" distB="0" distL="0" distR="0" wp14:anchorId="4255F0DA" wp14:editId="7605C285">
            <wp:extent cx="5023485" cy="365760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2769D4EA" w14:textId="77777777" w:rsidR="00B1315F" w:rsidRPr="00136604" w:rsidRDefault="00B1315F" w:rsidP="00B1315F">
      <w:pPr>
        <w:pStyle w:val="Figure"/>
      </w:pPr>
      <w:bookmarkStart w:id="47" w:name="_Toc90545630"/>
      <w:bookmarkStart w:id="48" w:name="_Toc87526864"/>
      <w:r w:rsidRPr="00B05536">
        <w:t xml:space="preserve">Observed </w:t>
      </w:r>
      <w:r>
        <w:rPr>
          <w:lang w:val="en-GB"/>
        </w:rPr>
        <w:t xml:space="preserve">Kaplan-Meier </w:t>
      </w:r>
      <w:r w:rsidRPr="00B05536">
        <w:t xml:space="preserve">survival curves for </w:t>
      </w:r>
      <w:r>
        <w:t xml:space="preserve">prostate </w:t>
      </w:r>
      <w:r w:rsidRPr="00B05536">
        <w:t>cancer</w:t>
      </w:r>
      <w:bookmarkEnd w:id="47"/>
      <w:bookmarkEnd w:id="48"/>
    </w:p>
    <w:p w14:paraId="204DA491" w14:textId="2CF29AE7" w:rsidR="0046602C" w:rsidRDefault="0046602C" w:rsidP="00C8469D">
      <w:pPr>
        <w:spacing w:line="276" w:lineRule="auto"/>
        <w:rPr>
          <w:rFonts w:cstheme="minorHAnsi"/>
          <w:szCs w:val="24"/>
        </w:rPr>
      </w:pPr>
      <w:r>
        <w:rPr>
          <w:rFonts w:cstheme="minorHAnsi"/>
          <w:szCs w:val="24"/>
        </w:rPr>
        <w:br w:type="page"/>
      </w:r>
    </w:p>
    <w:p w14:paraId="0258467A" w14:textId="77777777" w:rsidR="00C8469D" w:rsidRDefault="00C8469D" w:rsidP="00C8469D">
      <w:pPr>
        <w:spacing w:line="276" w:lineRule="auto"/>
        <w:rPr>
          <w:rFonts w:cstheme="minorHAnsi"/>
          <w:szCs w:val="24"/>
        </w:rPr>
      </w:pPr>
      <w:r w:rsidRPr="00B57BEB">
        <w:rPr>
          <w:noProof/>
        </w:rPr>
        <w:lastRenderedPageBreak/>
        <w:drawing>
          <wp:inline distT="0" distB="0" distL="0" distR="0" wp14:anchorId="560454A9" wp14:editId="7F30CA68">
            <wp:extent cx="5023485" cy="365760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68933A74" w14:textId="77777777" w:rsidR="00B1315F" w:rsidRPr="00136604" w:rsidRDefault="00B1315F" w:rsidP="00B1315F">
      <w:pPr>
        <w:pStyle w:val="Figure"/>
      </w:pPr>
      <w:bookmarkStart w:id="49" w:name="_Toc90545631"/>
      <w:bookmarkStart w:id="50" w:name="_Toc87526865"/>
      <w:r w:rsidRPr="00B05536">
        <w:t xml:space="preserve">Observed </w:t>
      </w:r>
      <w:r>
        <w:rPr>
          <w:lang w:val="en-GB"/>
        </w:rPr>
        <w:t xml:space="preserve">Kaplan-Meier </w:t>
      </w:r>
      <w:r w:rsidRPr="00B05536">
        <w:t xml:space="preserve">survival curves for </w:t>
      </w:r>
      <w:r>
        <w:t xml:space="preserve">bladder </w:t>
      </w:r>
      <w:r w:rsidRPr="00B05536">
        <w:t>cancer</w:t>
      </w:r>
      <w:bookmarkEnd w:id="49"/>
      <w:bookmarkEnd w:id="50"/>
    </w:p>
    <w:p w14:paraId="5C64F189" w14:textId="6CED3059" w:rsidR="0046602C" w:rsidRDefault="0046602C" w:rsidP="0074177F">
      <w:pPr>
        <w:rPr>
          <w:i/>
          <w:iCs/>
        </w:rPr>
      </w:pPr>
      <w:r>
        <w:rPr>
          <w:i/>
          <w:iCs/>
        </w:rPr>
        <w:br w:type="page"/>
      </w:r>
    </w:p>
    <w:p w14:paraId="48A58ADB" w14:textId="77777777" w:rsidR="00C8469D" w:rsidRDefault="00C8469D" w:rsidP="00C8469D">
      <w:pPr>
        <w:spacing w:line="276" w:lineRule="auto"/>
        <w:rPr>
          <w:rFonts w:cstheme="minorHAnsi"/>
          <w:szCs w:val="24"/>
        </w:rPr>
      </w:pPr>
      <w:r w:rsidRPr="00B57BEB">
        <w:rPr>
          <w:rFonts w:cstheme="minorHAnsi"/>
          <w:noProof/>
        </w:rPr>
        <w:lastRenderedPageBreak/>
        <w:drawing>
          <wp:inline distT="0" distB="0" distL="0" distR="0" wp14:anchorId="0DD1F105" wp14:editId="4A17FC65">
            <wp:extent cx="5023485" cy="36576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161D8C57" w14:textId="77777777" w:rsidR="00B1315F" w:rsidRDefault="00B1315F" w:rsidP="00B1315F">
      <w:pPr>
        <w:pStyle w:val="Figure"/>
        <w:rPr>
          <w:szCs w:val="24"/>
        </w:rPr>
      </w:pPr>
      <w:bookmarkStart w:id="51" w:name="_Toc90545632"/>
      <w:bookmarkStart w:id="52" w:name="_Toc87526866"/>
      <w:r w:rsidRPr="00B05536">
        <w:t xml:space="preserve">Observed </w:t>
      </w:r>
      <w:r>
        <w:rPr>
          <w:lang w:val="en-GB"/>
        </w:rPr>
        <w:t xml:space="preserve">Kaplan-Meier </w:t>
      </w:r>
      <w:r w:rsidRPr="00B05536">
        <w:t xml:space="preserve">survival curves for </w:t>
      </w:r>
      <w:r>
        <w:t xml:space="preserve">renal </w:t>
      </w:r>
      <w:r w:rsidRPr="00B05536">
        <w:t>cancer</w:t>
      </w:r>
      <w:bookmarkEnd w:id="51"/>
      <w:bookmarkEnd w:id="52"/>
    </w:p>
    <w:p w14:paraId="1326D112" w14:textId="4737A4FA" w:rsidR="0046602C" w:rsidRDefault="0046602C" w:rsidP="0074177F">
      <w:pPr>
        <w:rPr>
          <w:i/>
          <w:iCs/>
        </w:rPr>
      </w:pPr>
      <w:r>
        <w:rPr>
          <w:i/>
          <w:iCs/>
        </w:rPr>
        <w:br w:type="page"/>
      </w:r>
    </w:p>
    <w:p w14:paraId="688B9358" w14:textId="77777777" w:rsidR="00C8469D" w:rsidRDefault="00C8469D" w:rsidP="00C8469D">
      <w:pPr>
        <w:spacing w:line="276" w:lineRule="auto"/>
        <w:rPr>
          <w:noProof/>
          <w:lang w:eastAsia="en-GB"/>
        </w:rPr>
      </w:pPr>
      <w:r w:rsidRPr="00B57BEB">
        <w:rPr>
          <w:rFonts w:cstheme="minorHAnsi"/>
          <w:noProof/>
          <w:lang w:eastAsia="en-GB"/>
        </w:rPr>
        <w:lastRenderedPageBreak/>
        <w:drawing>
          <wp:inline distT="0" distB="0" distL="0" distR="0" wp14:anchorId="153A95A5" wp14:editId="038BA473">
            <wp:extent cx="5023485" cy="36576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r w:rsidRPr="00633C0C">
        <w:rPr>
          <w:noProof/>
          <w:lang w:eastAsia="en-GB"/>
        </w:rPr>
        <w:t xml:space="preserve"> </w:t>
      </w:r>
    </w:p>
    <w:p w14:paraId="38164737" w14:textId="77777777" w:rsidR="00862682" w:rsidRDefault="00862682" w:rsidP="00862682">
      <w:pPr>
        <w:pStyle w:val="Figure"/>
        <w:rPr>
          <w:noProof/>
          <w:lang w:eastAsia="en-GB"/>
        </w:rPr>
      </w:pPr>
      <w:bookmarkStart w:id="53" w:name="_Toc90545633"/>
      <w:bookmarkStart w:id="54" w:name="_Toc87526867"/>
      <w:r>
        <w:t>O</w:t>
      </w:r>
      <w:r w:rsidRPr="00B05536">
        <w:t xml:space="preserve">bserved </w:t>
      </w:r>
      <w:r>
        <w:rPr>
          <w:lang w:val="en-GB"/>
        </w:rPr>
        <w:t xml:space="preserve">Kaplan-Meier </w:t>
      </w:r>
      <w:r w:rsidRPr="00B05536">
        <w:t xml:space="preserve">survival curves for </w:t>
      </w:r>
      <w:r>
        <w:t xml:space="preserve">OG </w:t>
      </w:r>
      <w:r w:rsidRPr="00B05536">
        <w:t>cancer</w:t>
      </w:r>
      <w:bookmarkEnd w:id="53"/>
      <w:bookmarkEnd w:id="54"/>
    </w:p>
    <w:p w14:paraId="1CFF4E24" w14:textId="246F747A" w:rsidR="0046602C" w:rsidRDefault="0046602C" w:rsidP="00CF45F6">
      <w:pPr>
        <w:rPr>
          <w:i/>
          <w:iCs/>
        </w:rPr>
      </w:pPr>
      <w:r>
        <w:rPr>
          <w:i/>
          <w:iCs/>
        </w:rPr>
        <w:br w:type="page"/>
      </w:r>
    </w:p>
    <w:bookmarkEnd w:id="46"/>
    <w:p w14:paraId="79D8FCDB" w14:textId="77777777" w:rsidR="00C8469D" w:rsidRDefault="00C8469D" w:rsidP="00C8469D">
      <w:r w:rsidRPr="00E944F4">
        <w:rPr>
          <w:noProof/>
        </w:rPr>
        <w:lastRenderedPageBreak/>
        <w:drawing>
          <wp:inline distT="0" distB="0" distL="0" distR="0" wp14:anchorId="1F308A86" wp14:editId="243EF9BE">
            <wp:extent cx="5731510" cy="3217545"/>
            <wp:effectExtent l="0" t="0" r="2540" b="1905"/>
            <wp:docPr id="24" name="Picture 2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scatter chart&#10;&#10;Description automatically generated"/>
                    <pic:cNvPicPr/>
                  </pic:nvPicPr>
                  <pic:blipFill>
                    <a:blip r:embed="rId45"/>
                    <a:stretch>
                      <a:fillRect/>
                    </a:stretch>
                  </pic:blipFill>
                  <pic:spPr>
                    <a:xfrm>
                      <a:off x="0" y="0"/>
                      <a:ext cx="5731510" cy="3217545"/>
                    </a:xfrm>
                    <a:prstGeom prst="rect">
                      <a:avLst/>
                    </a:prstGeom>
                  </pic:spPr>
                </pic:pic>
              </a:graphicData>
            </a:graphic>
          </wp:inline>
        </w:drawing>
      </w:r>
    </w:p>
    <w:p w14:paraId="14696748" w14:textId="2A544A0A" w:rsidR="00C8469D" w:rsidRPr="0046602C" w:rsidRDefault="00C8469D" w:rsidP="00C8469D">
      <w:pPr>
        <w:pStyle w:val="Figure"/>
      </w:pPr>
      <w:bookmarkStart w:id="55" w:name="_Toc90545634"/>
      <w:bookmarkStart w:id="56" w:name="_Toc87526868"/>
      <w:r>
        <w:t>Prostate cost-effectiveness plane</w:t>
      </w:r>
      <w:r>
        <w:rPr>
          <w:lang w:val="en-US"/>
        </w:rPr>
        <w:t>, excluding implementation costs</w:t>
      </w:r>
      <w:bookmarkEnd w:id="55"/>
      <w:bookmarkEnd w:id="56"/>
    </w:p>
    <w:p w14:paraId="7EA92A89" w14:textId="1BBA1897" w:rsidR="0046602C" w:rsidRDefault="0046602C" w:rsidP="0046602C">
      <w:pPr>
        <w:pStyle w:val="Figure"/>
        <w:numPr>
          <w:ilvl w:val="0"/>
          <w:numId w:val="0"/>
        </w:numPr>
        <w:rPr>
          <w:lang w:val="en-US"/>
        </w:rPr>
      </w:pPr>
      <w:r>
        <w:rPr>
          <w:lang w:val="en-US"/>
        </w:rPr>
        <w:br w:type="page"/>
      </w:r>
    </w:p>
    <w:p w14:paraId="4D4E1F23" w14:textId="77777777" w:rsidR="0046602C" w:rsidRDefault="0046602C" w:rsidP="0046602C">
      <w:pPr>
        <w:pStyle w:val="Figure"/>
        <w:numPr>
          <w:ilvl w:val="0"/>
          <w:numId w:val="0"/>
        </w:numPr>
      </w:pPr>
    </w:p>
    <w:p w14:paraId="2AABE33D" w14:textId="77777777" w:rsidR="00C8469D" w:rsidRDefault="00C8469D" w:rsidP="00C8469D">
      <w:r w:rsidRPr="00E944F4">
        <w:rPr>
          <w:noProof/>
        </w:rPr>
        <w:drawing>
          <wp:inline distT="0" distB="0" distL="0" distR="0" wp14:anchorId="1EFFB74E" wp14:editId="5327F78A">
            <wp:extent cx="5731510" cy="3653790"/>
            <wp:effectExtent l="0" t="0" r="2540" b="381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46"/>
                    <a:stretch>
                      <a:fillRect/>
                    </a:stretch>
                  </pic:blipFill>
                  <pic:spPr>
                    <a:xfrm>
                      <a:off x="0" y="0"/>
                      <a:ext cx="5731510" cy="3653790"/>
                    </a:xfrm>
                    <a:prstGeom prst="rect">
                      <a:avLst/>
                    </a:prstGeom>
                  </pic:spPr>
                </pic:pic>
              </a:graphicData>
            </a:graphic>
          </wp:inline>
        </w:drawing>
      </w:r>
    </w:p>
    <w:p w14:paraId="1F3969D6" w14:textId="490D6A17" w:rsidR="00C8469D" w:rsidRPr="0046602C" w:rsidRDefault="00C8469D" w:rsidP="00C8469D">
      <w:pPr>
        <w:pStyle w:val="Figure"/>
      </w:pPr>
      <w:bookmarkStart w:id="57" w:name="_Toc90545635"/>
      <w:bookmarkStart w:id="58" w:name="_Toc87526869"/>
      <w:r>
        <w:t>Prostate cost-effectiveness acceptability curve</w:t>
      </w:r>
      <w:r>
        <w:rPr>
          <w:lang w:val="en-US"/>
        </w:rPr>
        <w:t>, excluding implementation costs</w:t>
      </w:r>
      <w:bookmarkEnd w:id="57"/>
      <w:bookmarkEnd w:id="58"/>
    </w:p>
    <w:p w14:paraId="22ABCF2C" w14:textId="50D5BCB6" w:rsidR="0046602C" w:rsidRDefault="0046602C" w:rsidP="0046602C">
      <w:pPr>
        <w:pStyle w:val="Figure"/>
        <w:numPr>
          <w:ilvl w:val="0"/>
          <w:numId w:val="0"/>
        </w:numPr>
        <w:rPr>
          <w:lang w:val="en-US"/>
        </w:rPr>
      </w:pPr>
      <w:r>
        <w:rPr>
          <w:lang w:val="en-US"/>
        </w:rPr>
        <w:br w:type="page"/>
      </w:r>
    </w:p>
    <w:p w14:paraId="32B56537" w14:textId="77777777" w:rsidR="0046602C" w:rsidRDefault="0046602C" w:rsidP="0046602C">
      <w:pPr>
        <w:pStyle w:val="Figure"/>
        <w:numPr>
          <w:ilvl w:val="0"/>
          <w:numId w:val="0"/>
        </w:numPr>
      </w:pPr>
    </w:p>
    <w:p w14:paraId="789E05F0" w14:textId="77777777" w:rsidR="00C8469D" w:rsidRDefault="00C8469D" w:rsidP="00C8469D">
      <w:r w:rsidRPr="0015339A">
        <w:rPr>
          <w:noProof/>
        </w:rPr>
        <w:drawing>
          <wp:inline distT="0" distB="0" distL="0" distR="0" wp14:anchorId="3F50388F" wp14:editId="03968E1C">
            <wp:extent cx="5731510" cy="3226435"/>
            <wp:effectExtent l="0" t="0" r="2540" b="0"/>
            <wp:docPr id="46" name="Picture 4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47"/>
                    <a:stretch>
                      <a:fillRect/>
                    </a:stretch>
                  </pic:blipFill>
                  <pic:spPr>
                    <a:xfrm>
                      <a:off x="0" y="0"/>
                      <a:ext cx="5731510" cy="3226435"/>
                    </a:xfrm>
                    <a:prstGeom prst="rect">
                      <a:avLst/>
                    </a:prstGeom>
                  </pic:spPr>
                </pic:pic>
              </a:graphicData>
            </a:graphic>
          </wp:inline>
        </w:drawing>
      </w:r>
    </w:p>
    <w:p w14:paraId="6156C82A" w14:textId="73F8B350" w:rsidR="00C8469D" w:rsidRPr="0046602C" w:rsidRDefault="00C8469D" w:rsidP="00C8469D">
      <w:pPr>
        <w:pStyle w:val="Figure"/>
      </w:pPr>
      <w:bookmarkStart w:id="59" w:name="_Toc90545636"/>
      <w:bookmarkStart w:id="60" w:name="_Toc87526870"/>
      <w:r>
        <w:t>Bladder cost-effectiveness plane</w:t>
      </w:r>
      <w:r>
        <w:rPr>
          <w:lang w:val="en-US"/>
        </w:rPr>
        <w:t>, excluding implementation costs</w:t>
      </w:r>
      <w:bookmarkEnd w:id="59"/>
      <w:bookmarkEnd w:id="60"/>
    </w:p>
    <w:p w14:paraId="2703F714" w14:textId="21782D61" w:rsidR="0046602C" w:rsidRDefault="0046602C" w:rsidP="0046602C">
      <w:pPr>
        <w:pStyle w:val="Figure"/>
        <w:numPr>
          <w:ilvl w:val="0"/>
          <w:numId w:val="0"/>
        </w:numPr>
        <w:rPr>
          <w:lang w:val="en-US"/>
        </w:rPr>
      </w:pPr>
      <w:r>
        <w:rPr>
          <w:lang w:val="en-US"/>
        </w:rPr>
        <w:br w:type="page"/>
      </w:r>
    </w:p>
    <w:p w14:paraId="1A71B722" w14:textId="77777777" w:rsidR="0046602C" w:rsidRDefault="0046602C" w:rsidP="0046602C">
      <w:pPr>
        <w:pStyle w:val="Figure"/>
        <w:numPr>
          <w:ilvl w:val="0"/>
          <w:numId w:val="0"/>
        </w:numPr>
      </w:pPr>
    </w:p>
    <w:p w14:paraId="5949D663" w14:textId="77777777" w:rsidR="00C8469D" w:rsidRDefault="00C8469D" w:rsidP="00C8469D">
      <w:r w:rsidRPr="0015339A">
        <w:rPr>
          <w:noProof/>
        </w:rPr>
        <w:drawing>
          <wp:inline distT="0" distB="0" distL="0" distR="0" wp14:anchorId="41D67893" wp14:editId="5BDC8647">
            <wp:extent cx="5731510" cy="3688715"/>
            <wp:effectExtent l="0" t="0" r="2540" b="6985"/>
            <wp:docPr id="50" name="Picture 5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48"/>
                    <a:stretch>
                      <a:fillRect/>
                    </a:stretch>
                  </pic:blipFill>
                  <pic:spPr>
                    <a:xfrm>
                      <a:off x="0" y="0"/>
                      <a:ext cx="5731510" cy="3688715"/>
                    </a:xfrm>
                    <a:prstGeom prst="rect">
                      <a:avLst/>
                    </a:prstGeom>
                  </pic:spPr>
                </pic:pic>
              </a:graphicData>
            </a:graphic>
          </wp:inline>
        </w:drawing>
      </w:r>
    </w:p>
    <w:p w14:paraId="00B279B9" w14:textId="178B657A" w:rsidR="00C8469D" w:rsidRPr="0046602C" w:rsidRDefault="00C8469D" w:rsidP="00C8469D">
      <w:pPr>
        <w:pStyle w:val="Figure"/>
      </w:pPr>
      <w:bookmarkStart w:id="61" w:name="_Toc90545637"/>
      <w:bookmarkStart w:id="62" w:name="_Toc87526871"/>
      <w:r>
        <w:t>Bladder cost-effectiveness acceptability curve</w:t>
      </w:r>
      <w:r>
        <w:rPr>
          <w:lang w:val="en-US"/>
        </w:rPr>
        <w:t>, excluding implementation costs</w:t>
      </w:r>
      <w:bookmarkEnd w:id="61"/>
      <w:bookmarkEnd w:id="62"/>
    </w:p>
    <w:p w14:paraId="59C0AFCB" w14:textId="30E360AC" w:rsidR="0046602C" w:rsidRDefault="0046602C" w:rsidP="0046602C">
      <w:pPr>
        <w:pStyle w:val="Figure"/>
        <w:numPr>
          <w:ilvl w:val="0"/>
          <w:numId w:val="0"/>
        </w:numPr>
        <w:rPr>
          <w:lang w:val="en-US"/>
        </w:rPr>
      </w:pPr>
      <w:r>
        <w:rPr>
          <w:lang w:val="en-US"/>
        </w:rPr>
        <w:br w:type="page"/>
      </w:r>
    </w:p>
    <w:p w14:paraId="1E0083B3" w14:textId="77777777" w:rsidR="0046602C" w:rsidRDefault="0046602C" w:rsidP="0046602C">
      <w:pPr>
        <w:pStyle w:val="Figure"/>
        <w:numPr>
          <w:ilvl w:val="0"/>
          <w:numId w:val="0"/>
        </w:numPr>
      </w:pPr>
    </w:p>
    <w:p w14:paraId="59F454F2" w14:textId="77777777" w:rsidR="00C8469D" w:rsidRDefault="00C8469D" w:rsidP="00C8469D">
      <w:r w:rsidRPr="0015339A">
        <w:rPr>
          <w:noProof/>
        </w:rPr>
        <w:drawing>
          <wp:inline distT="0" distB="0" distL="0" distR="0" wp14:anchorId="36183AB2" wp14:editId="5A907D87">
            <wp:extent cx="5731510" cy="3263265"/>
            <wp:effectExtent l="0" t="0" r="2540" b="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49"/>
                    <a:stretch>
                      <a:fillRect/>
                    </a:stretch>
                  </pic:blipFill>
                  <pic:spPr>
                    <a:xfrm>
                      <a:off x="0" y="0"/>
                      <a:ext cx="5731510" cy="3263265"/>
                    </a:xfrm>
                    <a:prstGeom prst="rect">
                      <a:avLst/>
                    </a:prstGeom>
                  </pic:spPr>
                </pic:pic>
              </a:graphicData>
            </a:graphic>
          </wp:inline>
        </w:drawing>
      </w:r>
    </w:p>
    <w:p w14:paraId="0D6B9E3C" w14:textId="14C91C02" w:rsidR="00C8469D" w:rsidRPr="0046602C" w:rsidRDefault="00C8469D" w:rsidP="00C8469D">
      <w:pPr>
        <w:pStyle w:val="Figure"/>
      </w:pPr>
      <w:bookmarkStart w:id="63" w:name="_Toc90545638"/>
      <w:bookmarkStart w:id="64" w:name="_Toc87526872"/>
      <w:r>
        <w:t>Renal cost-effectiveness plane</w:t>
      </w:r>
      <w:r>
        <w:rPr>
          <w:lang w:val="en-US"/>
        </w:rPr>
        <w:t>, excluding implementation costs</w:t>
      </w:r>
      <w:bookmarkEnd w:id="63"/>
      <w:bookmarkEnd w:id="64"/>
    </w:p>
    <w:p w14:paraId="02443220" w14:textId="78845310" w:rsidR="0046602C" w:rsidRDefault="0046602C" w:rsidP="0046602C">
      <w:pPr>
        <w:pStyle w:val="Figure"/>
        <w:numPr>
          <w:ilvl w:val="0"/>
          <w:numId w:val="0"/>
        </w:numPr>
        <w:rPr>
          <w:lang w:val="en-US"/>
        </w:rPr>
      </w:pPr>
      <w:r>
        <w:rPr>
          <w:lang w:val="en-US"/>
        </w:rPr>
        <w:br w:type="page"/>
      </w:r>
    </w:p>
    <w:p w14:paraId="07738FA2" w14:textId="77777777" w:rsidR="0046602C" w:rsidRDefault="0046602C" w:rsidP="0046602C">
      <w:pPr>
        <w:pStyle w:val="Figure"/>
        <w:numPr>
          <w:ilvl w:val="0"/>
          <w:numId w:val="0"/>
        </w:numPr>
      </w:pPr>
    </w:p>
    <w:p w14:paraId="74A22C53" w14:textId="77777777" w:rsidR="00C8469D" w:rsidRDefault="00C8469D" w:rsidP="00C8469D">
      <w:r w:rsidRPr="0015339A">
        <w:rPr>
          <w:noProof/>
        </w:rPr>
        <w:drawing>
          <wp:inline distT="0" distB="0" distL="0" distR="0" wp14:anchorId="742C8D17" wp14:editId="6C2D9E85">
            <wp:extent cx="5731510" cy="3549015"/>
            <wp:effectExtent l="0" t="0" r="254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50"/>
                    <a:stretch>
                      <a:fillRect/>
                    </a:stretch>
                  </pic:blipFill>
                  <pic:spPr>
                    <a:xfrm>
                      <a:off x="0" y="0"/>
                      <a:ext cx="5731510" cy="3549015"/>
                    </a:xfrm>
                    <a:prstGeom prst="rect">
                      <a:avLst/>
                    </a:prstGeom>
                  </pic:spPr>
                </pic:pic>
              </a:graphicData>
            </a:graphic>
          </wp:inline>
        </w:drawing>
      </w:r>
    </w:p>
    <w:p w14:paraId="0C8B65C4" w14:textId="7759E3BC" w:rsidR="00C8469D" w:rsidRPr="0046602C" w:rsidRDefault="00C8469D" w:rsidP="00C8469D">
      <w:pPr>
        <w:pStyle w:val="Figure"/>
      </w:pPr>
      <w:bookmarkStart w:id="65" w:name="_Toc90545639"/>
      <w:bookmarkStart w:id="66" w:name="_Toc87526873"/>
      <w:r>
        <w:t>Renal cost-effectiveness acceptability curve</w:t>
      </w:r>
      <w:r>
        <w:rPr>
          <w:lang w:val="en-US"/>
        </w:rPr>
        <w:t>, excluding implementation costs</w:t>
      </w:r>
      <w:bookmarkEnd w:id="65"/>
      <w:bookmarkEnd w:id="66"/>
    </w:p>
    <w:p w14:paraId="4E8291BE" w14:textId="52722407" w:rsidR="0046602C" w:rsidRDefault="0046602C" w:rsidP="0046602C">
      <w:pPr>
        <w:pStyle w:val="Figure"/>
        <w:numPr>
          <w:ilvl w:val="0"/>
          <w:numId w:val="0"/>
        </w:numPr>
        <w:rPr>
          <w:lang w:val="en-US"/>
        </w:rPr>
      </w:pPr>
      <w:r>
        <w:rPr>
          <w:lang w:val="en-US"/>
        </w:rPr>
        <w:br w:type="page"/>
      </w:r>
    </w:p>
    <w:p w14:paraId="7FDD00D3" w14:textId="77777777" w:rsidR="0046602C" w:rsidRDefault="0046602C" w:rsidP="0046602C">
      <w:pPr>
        <w:pStyle w:val="Figure"/>
        <w:numPr>
          <w:ilvl w:val="0"/>
          <w:numId w:val="0"/>
        </w:numPr>
      </w:pPr>
    </w:p>
    <w:p w14:paraId="5ACBBC2F" w14:textId="77777777" w:rsidR="00C8469D" w:rsidRDefault="00C8469D" w:rsidP="00C8469D">
      <w:r w:rsidRPr="0015339A">
        <w:rPr>
          <w:noProof/>
        </w:rPr>
        <w:drawing>
          <wp:inline distT="0" distB="0" distL="0" distR="0" wp14:anchorId="2D273533" wp14:editId="5430BA1F">
            <wp:extent cx="5731510" cy="3289935"/>
            <wp:effectExtent l="0" t="0" r="2540" b="5715"/>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51"/>
                    <a:stretch>
                      <a:fillRect/>
                    </a:stretch>
                  </pic:blipFill>
                  <pic:spPr>
                    <a:xfrm>
                      <a:off x="0" y="0"/>
                      <a:ext cx="5731510" cy="3289935"/>
                    </a:xfrm>
                    <a:prstGeom prst="rect">
                      <a:avLst/>
                    </a:prstGeom>
                  </pic:spPr>
                </pic:pic>
              </a:graphicData>
            </a:graphic>
          </wp:inline>
        </w:drawing>
      </w:r>
    </w:p>
    <w:p w14:paraId="54FF48D0" w14:textId="5C759F27" w:rsidR="00C8469D" w:rsidRPr="0046602C" w:rsidRDefault="00C8469D" w:rsidP="00C8469D">
      <w:pPr>
        <w:pStyle w:val="Figure"/>
      </w:pPr>
      <w:bookmarkStart w:id="67" w:name="_Toc90545640"/>
      <w:bookmarkStart w:id="68" w:name="_Toc87526874"/>
      <w:r>
        <w:t>OG cost-effectiveness plane</w:t>
      </w:r>
      <w:r>
        <w:rPr>
          <w:lang w:val="en-US"/>
        </w:rPr>
        <w:t>, excluding implementation costs</w:t>
      </w:r>
      <w:bookmarkEnd w:id="67"/>
      <w:bookmarkEnd w:id="68"/>
    </w:p>
    <w:p w14:paraId="276788CA" w14:textId="368D1895" w:rsidR="0046602C" w:rsidRDefault="0046602C" w:rsidP="0046602C">
      <w:pPr>
        <w:pStyle w:val="Figure"/>
        <w:numPr>
          <w:ilvl w:val="0"/>
          <w:numId w:val="0"/>
        </w:numPr>
        <w:rPr>
          <w:lang w:val="en-US"/>
        </w:rPr>
      </w:pPr>
      <w:r>
        <w:rPr>
          <w:lang w:val="en-US"/>
        </w:rPr>
        <w:br w:type="page"/>
      </w:r>
    </w:p>
    <w:p w14:paraId="5DF4CA2B" w14:textId="77777777" w:rsidR="0046602C" w:rsidRDefault="0046602C" w:rsidP="0046602C">
      <w:pPr>
        <w:pStyle w:val="Figure"/>
        <w:numPr>
          <w:ilvl w:val="0"/>
          <w:numId w:val="0"/>
        </w:numPr>
      </w:pPr>
    </w:p>
    <w:p w14:paraId="6099496C" w14:textId="77777777" w:rsidR="00C8469D" w:rsidRDefault="00C8469D" w:rsidP="00C8469D">
      <w:r w:rsidRPr="0015339A">
        <w:rPr>
          <w:noProof/>
        </w:rPr>
        <w:drawing>
          <wp:inline distT="0" distB="0" distL="0" distR="0" wp14:anchorId="6C6113DF" wp14:editId="63443F55">
            <wp:extent cx="5731510" cy="3702685"/>
            <wp:effectExtent l="0" t="0" r="2540" b="0"/>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52"/>
                    <a:stretch>
                      <a:fillRect/>
                    </a:stretch>
                  </pic:blipFill>
                  <pic:spPr>
                    <a:xfrm>
                      <a:off x="0" y="0"/>
                      <a:ext cx="5731510" cy="3702685"/>
                    </a:xfrm>
                    <a:prstGeom prst="rect">
                      <a:avLst/>
                    </a:prstGeom>
                  </pic:spPr>
                </pic:pic>
              </a:graphicData>
            </a:graphic>
          </wp:inline>
        </w:drawing>
      </w:r>
    </w:p>
    <w:p w14:paraId="73A2A9B8" w14:textId="77777777" w:rsidR="00C8469D" w:rsidRDefault="00C8469D" w:rsidP="00C8469D">
      <w:pPr>
        <w:pStyle w:val="Figure"/>
      </w:pPr>
      <w:bookmarkStart w:id="69" w:name="_Toc90545641"/>
      <w:bookmarkStart w:id="70" w:name="_Toc87526875"/>
      <w:r>
        <w:t>OG cost-effectiveness acceptability curve</w:t>
      </w:r>
      <w:r>
        <w:rPr>
          <w:lang w:val="en-US"/>
        </w:rPr>
        <w:t>, excluding implementation costs</w:t>
      </w:r>
      <w:bookmarkEnd w:id="69"/>
      <w:bookmarkEnd w:id="70"/>
    </w:p>
    <w:p w14:paraId="777C4C06" w14:textId="767D85C0" w:rsidR="00C8469D" w:rsidRDefault="00C8469D" w:rsidP="00C8469D"/>
    <w:p w14:paraId="48811574" w14:textId="77777777" w:rsidR="00C8469D" w:rsidRPr="00C8469D" w:rsidRDefault="00C8469D" w:rsidP="00C8469D">
      <w:pPr>
        <w:rPr>
          <w:lang w:val="x-none"/>
        </w:rPr>
      </w:pPr>
    </w:p>
    <w:sectPr w:rsidR="00C8469D" w:rsidRPr="00C8469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BAFAE" w14:textId="77777777" w:rsidR="007A6D5F" w:rsidRDefault="007A6D5F" w:rsidP="00566715">
      <w:pPr>
        <w:spacing w:after="0" w:line="240" w:lineRule="auto"/>
      </w:pPr>
      <w:r>
        <w:separator/>
      </w:r>
    </w:p>
  </w:endnote>
  <w:endnote w:type="continuationSeparator" w:id="0">
    <w:p w14:paraId="08006074" w14:textId="77777777" w:rsidR="007A6D5F" w:rsidRDefault="007A6D5F" w:rsidP="00566715">
      <w:pPr>
        <w:spacing w:after="0" w:line="240" w:lineRule="auto"/>
      </w:pPr>
      <w:r>
        <w:continuationSeparator/>
      </w:r>
    </w:p>
  </w:endnote>
  <w:endnote w:type="continuationNotice" w:id="1">
    <w:p w14:paraId="1C0AD82F" w14:textId="77777777" w:rsidR="007A6D5F" w:rsidRDefault="007A6D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rande"/>
    <w:panose1 w:val="020B0600040502020204"/>
    <w:charset w:val="00"/>
    <w:family w:val="swiss"/>
    <w:pitch w:val="variable"/>
    <w:sig w:usb0="E1000AEF" w:usb1="5000A1FF" w:usb2="00000000" w:usb3="00000000" w:csb0="000001B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6977268"/>
      <w:docPartObj>
        <w:docPartGallery w:val="Page Numbers (Bottom of Page)"/>
        <w:docPartUnique/>
      </w:docPartObj>
    </w:sdtPr>
    <w:sdtEndPr/>
    <w:sdtContent>
      <w:p w14:paraId="7ED5C845" w14:textId="77777777" w:rsidR="00B66DB3" w:rsidRPr="00566715" w:rsidRDefault="00B66DB3">
        <w:pPr>
          <w:pStyle w:val="Footer"/>
          <w:jc w:val="right"/>
        </w:pPr>
        <w:r w:rsidRPr="00566715">
          <w:fldChar w:fldCharType="begin"/>
        </w:r>
        <w:r w:rsidRPr="00566715">
          <w:instrText xml:space="preserve"> PAGE   \* MERGEFORMAT </w:instrText>
        </w:r>
        <w:r w:rsidRPr="00566715">
          <w:fldChar w:fldCharType="separate"/>
        </w:r>
        <w:r>
          <w:rPr>
            <w:noProof/>
          </w:rPr>
          <w:t>10</w:t>
        </w:r>
        <w:r w:rsidRPr="00566715">
          <w:fldChar w:fldCharType="end"/>
        </w:r>
      </w:p>
    </w:sdtContent>
  </w:sdt>
  <w:p w14:paraId="6A70ECC2" w14:textId="77777777" w:rsidR="00B66DB3" w:rsidRDefault="00B66D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3438837"/>
      <w:docPartObj>
        <w:docPartGallery w:val="Page Numbers (Bottom of Page)"/>
        <w:docPartUnique/>
      </w:docPartObj>
    </w:sdtPr>
    <w:sdtEndPr/>
    <w:sdtContent>
      <w:p w14:paraId="5DD6313B" w14:textId="77777777" w:rsidR="00EE4591" w:rsidRPr="00566715" w:rsidRDefault="00EE4591">
        <w:pPr>
          <w:pStyle w:val="Footer"/>
          <w:jc w:val="right"/>
        </w:pPr>
        <w:r w:rsidRPr="00566715">
          <w:fldChar w:fldCharType="begin"/>
        </w:r>
        <w:r w:rsidRPr="00566715">
          <w:instrText xml:space="preserve"> PAGE   \* MERGEFORMAT </w:instrText>
        </w:r>
        <w:r w:rsidRPr="00566715">
          <w:fldChar w:fldCharType="separate"/>
        </w:r>
        <w:r>
          <w:rPr>
            <w:noProof/>
          </w:rPr>
          <w:t>13</w:t>
        </w:r>
        <w:r w:rsidRPr="00566715">
          <w:fldChar w:fldCharType="end"/>
        </w:r>
      </w:p>
    </w:sdtContent>
  </w:sdt>
  <w:p w14:paraId="7D2B9DD0" w14:textId="77777777" w:rsidR="00EE4591" w:rsidRDefault="00EE45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D8750" w14:textId="0CE047B8" w:rsidR="00EE4591" w:rsidRPr="00566715" w:rsidRDefault="00EE4591">
    <w:pPr>
      <w:pStyle w:val="Footer"/>
      <w:jc w:val="right"/>
    </w:pPr>
  </w:p>
  <w:p w14:paraId="3CBCF8AE" w14:textId="77777777" w:rsidR="00EE4591" w:rsidRDefault="00EE45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0D32D" w14:textId="77777777" w:rsidR="007A6D5F" w:rsidRDefault="007A6D5F" w:rsidP="00566715">
      <w:pPr>
        <w:spacing w:after="0" w:line="240" w:lineRule="auto"/>
      </w:pPr>
      <w:r>
        <w:separator/>
      </w:r>
    </w:p>
  </w:footnote>
  <w:footnote w:type="continuationSeparator" w:id="0">
    <w:p w14:paraId="6186D994" w14:textId="77777777" w:rsidR="007A6D5F" w:rsidRDefault="007A6D5F" w:rsidP="00566715">
      <w:pPr>
        <w:spacing w:after="0" w:line="240" w:lineRule="auto"/>
      </w:pPr>
      <w:r>
        <w:continuationSeparator/>
      </w:r>
    </w:p>
  </w:footnote>
  <w:footnote w:type="continuationNotice" w:id="1">
    <w:p w14:paraId="364146D6" w14:textId="77777777" w:rsidR="007A6D5F" w:rsidRDefault="007A6D5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6405B"/>
    <w:multiLevelType w:val="hybridMultilevel"/>
    <w:tmpl w:val="9FFC38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166CB2"/>
    <w:multiLevelType w:val="hybridMultilevel"/>
    <w:tmpl w:val="4DC04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F7FF8"/>
    <w:multiLevelType w:val="hybridMultilevel"/>
    <w:tmpl w:val="4EC08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0B2AE5"/>
    <w:multiLevelType w:val="hybridMultilevel"/>
    <w:tmpl w:val="7C52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983815"/>
    <w:multiLevelType w:val="hybridMultilevel"/>
    <w:tmpl w:val="C43CA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393ED8"/>
    <w:multiLevelType w:val="hybridMultilevel"/>
    <w:tmpl w:val="62523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F4115F"/>
    <w:multiLevelType w:val="hybridMultilevel"/>
    <w:tmpl w:val="2C181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F0758F"/>
    <w:multiLevelType w:val="hybridMultilevel"/>
    <w:tmpl w:val="188C0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1461D1"/>
    <w:multiLevelType w:val="hybridMultilevel"/>
    <w:tmpl w:val="BB984514"/>
    <w:lvl w:ilvl="0" w:tplc="EC24C8C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9B264E0"/>
    <w:multiLevelType w:val="hybridMultilevel"/>
    <w:tmpl w:val="849CE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360EE9"/>
    <w:multiLevelType w:val="hybridMultilevel"/>
    <w:tmpl w:val="4F5CD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971385"/>
    <w:multiLevelType w:val="hybridMultilevel"/>
    <w:tmpl w:val="BE5419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C970F5"/>
    <w:multiLevelType w:val="hybridMultilevel"/>
    <w:tmpl w:val="6CC4F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233750"/>
    <w:multiLevelType w:val="hybridMultilevel"/>
    <w:tmpl w:val="5C1C1A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7C4641"/>
    <w:multiLevelType w:val="hybridMultilevel"/>
    <w:tmpl w:val="ED5C9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4494156"/>
    <w:multiLevelType w:val="hybridMultilevel"/>
    <w:tmpl w:val="690C5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602FFC"/>
    <w:multiLevelType w:val="hybridMultilevel"/>
    <w:tmpl w:val="232CA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54B71BF"/>
    <w:multiLevelType w:val="hybridMultilevel"/>
    <w:tmpl w:val="D03E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501CA7"/>
    <w:multiLevelType w:val="hybridMultilevel"/>
    <w:tmpl w:val="E326C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191CB9"/>
    <w:multiLevelType w:val="hybridMultilevel"/>
    <w:tmpl w:val="C5E09B4A"/>
    <w:lvl w:ilvl="0" w:tplc="EC341118">
      <w:start w:val="1"/>
      <w:numFmt w:val="decimal"/>
      <w:pStyle w:val="Table"/>
      <w:lvlText w:val="Table %1."/>
      <w:lvlJc w:val="left"/>
      <w:pPr>
        <w:ind w:left="72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7C31D0B"/>
    <w:multiLevelType w:val="hybridMultilevel"/>
    <w:tmpl w:val="2140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B202181"/>
    <w:multiLevelType w:val="hybridMultilevel"/>
    <w:tmpl w:val="C408FD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835571"/>
    <w:multiLevelType w:val="hybridMultilevel"/>
    <w:tmpl w:val="EFF2A3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FEA640A"/>
    <w:multiLevelType w:val="hybridMultilevel"/>
    <w:tmpl w:val="70724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17C1568"/>
    <w:multiLevelType w:val="hybridMultilevel"/>
    <w:tmpl w:val="E01AD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9A0E1C"/>
    <w:multiLevelType w:val="hybridMultilevel"/>
    <w:tmpl w:val="ECAC2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B9146B"/>
    <w:multiLevelType w:val="hybridMultilevel"/>
    <w:tmpl w:val="CE5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D13E28"/>
    <w:multiLevelType w:val="hybridMultilevel"/>
    <w:tmpl w:val="6F2C5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95E7B46"/>
    <w:multiLevelType w:val="hybridMultilevel"/>
    <w:tmpl w:val="F79E09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09035A"/>
    <w:multiLevelType w:val="hybridMultilevel"/>
    <w:tmpl w:val="90E66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5631CDC"/>
    <w:multiLevelType w:val="hybridMultilevel"/>
    <w:tmpl w:val="AE1CE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68152A"/>
    <w:multiLevelType w:val="hybridMultilevel"/>
    <w:tmpl w:val="06A08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A270F82"/>
    <w:multiLevelType w:val="hybridMultilevel"/>
    <w:tmpl w:val="4DA2CE60"/>
    <w:lvl w:ilvl="0" w:tplc="9762F5D4">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4A9A324E"/>
    <w:multiLevelType w:val="hybridMultilevel"/>
    <w:tmpl w:val="1276A1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B3D229E"/>
    <w:multiLevelType w:val="hybridMultilevel"/>
    <w:tmpl w:val="4232D2C2"/>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EA10F1"/>
    <w:multiLevelType w:val="hybridMultilevel"/>
    <w:tmpl w:val="3F3EB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E5C7474"/>
    <w:multiLevelType w:val="hybridMultilevel"/>
    <w:tmpl w:val="B4EC4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1BA160F"/>
    <w:multiLevelType w:val="hybridMultilevel"/>
    <w:tmpl w:val="C56C4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2677D22"/>
    <w:multiLevelType w:val="hybridMultilevel"/>
    <w:tmpl w:val="86F86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28463A2"/>
    <w:multiLevelType w:val="hybridMultilevel"/>
    <w:tmpl w:val="FCBA25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35E0E59"/>
    <w:multiLevelType w:val="hybridMultilevel"/>
    <w:tmpl w:val="39CEE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ED45C5"/>
    <w:multiLevelType w:val="multilevel"/>
    <w:tmpl w:val="C7F0D32A"/>
    <w:lvl w:ilvl="0">
      <w:start w:val="1"/>
      <w:numFmt w:val="decimal"/>
      <w:pStyle w:val="Heading1"/>
      <w:lvlText w:val="Chapter %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55A13685"/>
    <w:multiLevelType w:val="hybridMultilevel"/>
    <w:tmpl w:val="CD527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1B0B92"/>
    <w:multiLevelType w:val="hybridMultilevel"/>
    <w:tmpl w:val="410E3E1A"/>
    <w:lvl w:ilvl="0" w:tplc="9762F5D4">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9515258"/>
    <w:multiLevelType w:val="hybridMultilevel"/>
    <w:tmpl w:val="8BB074BE"/>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9DE5656"/>
    <w:multiLevelType w:val="hybridMultilevel"/>
    <w:tmpl w:val="D872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A997A5D"/>
    <w:multiLevelType w:val="hybridMultilevel"/>
    <w:tmpl w:val="32429398"/>
    <w:lvl w:ilvl="0" w:tplc="18889E2E">
      <w:start w:val="1"/>
      <w:numFmt w:val="decimal"/>
      <w:pStyle w:val="Figure"/>
      <w:lvlText w:val="Figure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B7B4C04"/>
    <w:multiLevelType w:val="hybridMultilevel"/>
    <w:tmpl w:val="E34C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D22235D"/>
    <w:multiLevelType w:val="hybridMultilevel"/>
    <w:tmpl w:val="A7C0D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DA95D45"/>
    <w:multiLevelType w:val="hybridMultilevel"/>
    <w:tmpl w:val="D876CD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E9D7D34"/>
    <w:multiLevelType w:val="hybridMultilevel"/>
    <w:tmpl w:val="03181F7E"/>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0747BE8"/>
    <w:multiLevelType w:val="hybridMultilevel"/>
    <w:tmpl w:val="AF587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14D0DDC"/>
    <w:multiLevelType w:val="hybridMultilevel"/>
    <w:tmpl w:val="B45CA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5E267EA"/>
    <w:multiLevelType w:val="hybridMultilevel"/>
    <w:tmpl w:val="6E42543C"/>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6BF7FA7"/>
    <w:multiLevelType w:val="hybridMultilevel"/>
    <w:tmpl w:val="0F84B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A0F11AA"/>
    <w:multiLevelType w:val="hybridMultilevel"/>
    <w:tmpl w:val="8ECA7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ADD69E6"/>
    <w:multiLevelType w:val="hybridMultilevel"/>
    <w:tmpl w:val="A22AA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B364B6D"/>
    <w:multiLevelType w:val="hybridMultilevel"/>
    <w:tmpl w:val="8CECA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F847C27"/>
    <w:multiLevelType w:val="hybridMultilevel"/>
    <w:tmpl w:val="A51A4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09318E8"/>
    <w:multiLevelType w:val="hybridMultilevel"/>
    <w:tmpl w:val="4976B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46A231CE">
      <w:start w:val="7"/>
      <w:numFmt w:val="bullet"/>
      <w:lvlText w:val="-"/>
      <w:lvlJc w:val="left"/>
      <w:pPr>
        <w:ind w:left="2160" w:hanging="360"/>
      </w:pPr>
      <w:rPr>
        <w:rFonts w:ascii="Arial" w:eastAsia="Calibri"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1DD07F2"/>
    <w:multiLevelType w:val="hybridMultilevel"/>
    <w:tmpl w:val="0CD0F8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2B1390F"/>
    <w:multiLevelType w:val="hybridMultilevel"/>
    <w:tmpl w:val="77404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3723B74"/>
    <w:multiLevelType w:val="hybridMultilevel"/>
    <w:tmpl w:val="D876CD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70F52C9"/>
    <w:multiLevelType w:val="hybridMultilevel"/>
    <w:tmpl w:val="3A9832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779906AE"/>
    <w:multiLevelType w:val="hybridMultilevel"/>
    <w:tmpl w:val="EFF2A3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99D6028"/>
    <w:multiLevelType w:val="hybridMultilevel"/>
    <w:tmpl w:val="3D9E3A1C"/>
    <w:styleLink w:val="ImportedStyle1"/>
    <w:lvl w:ilvl="0" w:tplc="CEC4C964">
      <w:start w:val="1"/>
      <w:numFmt w:val="bullet"/>
      <w:lvlText w:val="•"/>
      <w:lvlJc w:val="left"/>
      <w:pPr>
        <w:ind w:left="640" w:hanging="357"/>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92CF0E8">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D5827FC">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F9E9EC6">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0F68190">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57E318C">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12A74EA">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44E1F5E">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A247DD0">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6" w15:restartNumberingAfterBreak="0">
    <w:nsid w:val="7B89059F"/>
    <w:multiLevelType w:val="hybridMultilevel"/>
    <w:tmpl w:val="838C0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B8A2660"/>
    <w:multiLevelType w:val="hybridMultilevel"/>
    <w:tmpl w:val="3D9E3A1C"/>
    <w:numStyleLink w:val="ImportedStyle1"/>
  </w:abstractNum>
  <w:abstractNum w:abstractNumId="68" w15:restartNumberingAfterBreak="0">
    <w:nsid w:val="7DA86801"/>
    <w:multiLevelType w:val="hybridMultilevel"/>
    <w:tmpl w:val="2068A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FB6505A"/>
    <w:multiLevelType w:val="hybridMultilevel"/>
    <w:tmpl w:val="BE788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46"/>
  </w:num>
  <w:num w:numId="3">
    <w:abstractNumId w:val="19"/>
  </w:num>
  <w:num w:numId="4">
    <w:abstractNumId w:val="54"/>
  </w:num>
  <w:num w:numId="5">
    <w:abstractNumId w:val="21"/>
  </w:num>
  <w:num w:numId="6">
    <w:abstractNumId w:val="55"/>
  </w:num>
  <w:num w:numId="7">
    <w:abstractNumId w:val="5"/>
  </w:num>
  <w:num w:numId="8">
    <w:abstractNumId w:val="52"/>
  </w:num>
  <w:num w:numId="9">
    <w:abstractNumId w:val="64"/>
  </w:num>
  <w:num w:numId="10">
    <w:abstractNumId w:val="32"/>
  </w:num>
  <w:num w:numId="11">
    <w:abstractNumId w:val="43"/>
  </w:num>
  <w:num w:numId="12">
    <w:abstractNumId w:val="61"/>
  </w:num>
  <w:num w:numId="13">
    <w:abstractNumId w:val="37"/>
  </w:num>
  <w:num w:numId="14">
    <w:abstractNumId w:val="36"/>
  </w:num>
  <w:num w:numId="15">
    <w:abstractNumId w:val="50"/>
  </w:num>
  <w:num w:numId="16">
    <w:abstractNumId w:val="44"/>
  </w:num>
  <w:num w:numId="17">
    <w:abstractNumId w:val="53"/>
  </w:num>
  <w:num w:numId="18">
    <w:abstractNumId w:val="34"/>
  </w:num>
  <w:num w:numId="19">
    <w:abstractNumId w:val="31"/>
  </w:num>
  <w:num w:numId="20">
    <w:abstractNumId w:val="16"/>
  </w:num>
  <w:num w:numId="21">
    <w:abstractNumId w:val="25"/>
  </w:num>
  <w:num w:numId="22">
    <w:abstractNumId w:val="38"/>
  </w:num>
  <w:num w:numId="23">
    <w:abstractNumId w:val="39"/>
  </w:num>
  <w:num w:numId="24">
    <w:abstractNumId w:val="17"/>
  </w:num>
  <w:num w:numId="25">
    <w:abstractNumId w:val="63"/>
  </w:num>
  <w:num w:numId="26">
    <w:abstractNumId w:val="27"/>
  </w:num>
  <w:num w:numId="27">
    <w:abstractNumId w:val="4"/>
  </w:num>
  <w:num w:numId="28">
    <w:abstractNumId w:val="68"/>
  </w:num>
  <w:num w:numId="29">
    <w:abstractNumId w:val="6"/>
  </w:num>
  <w:num w:numId="30">
    <w:abstractNumId w:val="29"/>
  </w:num>
  <w:num w:numId="31">
    <w:abstractNumId w:val="30"/>
  </w:num>
  <w:num w:numId="32">
    <w:abstractNumId w:val="48"/>
  </w:num>
  <w:num w:numId="33">
    <w:abstractNumId w:val="15"/>
  </w:num>
  <w:num w:numId="34">
    <w:abstractNumId w:val="60"/>
  </w:num>
  <w:num w:numId="35">
    <w:abstractNumId w:val="33"/>
  </w:num>
  <w:num w:numId="36">
    <w:abstractNumId w:val="13"/>
  </w:num>
  <w:num w:numId="37">
    <w:abstractNumId w:val="49"/>
  </w:num>
  <w:num w:numId="38">
    <w:abstractNumId w:val="9"/>
  </w:num>
  <w:num w:numId="39">
    <w:abstractNumId w:val="69"/>
  </w:num>
  <w:num w:numId="40">
    <w:abstractNumId w:val="45"/>
  </w:num>
  <w:num w:numId="41">
    <w:abstractNumId w:val="7"/>
  </w:num>
  <w:num w:numId="42">
    <w:abstractNumId w:val="22"/>
  </w:num>
  <w:num w:numId="43">
    <w:abstractNumId w:val="3"/>
  </w:num>
  <w:num w:numId="44">
    <w:abstractNumId w:val="12"/>
  </w:num>
  <w:num w:numId="45">
    <w:abstractNumId w:val="2"/>
  </w:num>
  <w:num w:numId="46">
    <w:abstractNumId w:val="42"/>
  </w:num>
  <w:num w:numId="47">
    <w:abstractNumId w:val="66"/>
  </w:num>
  <w:num w:numId="48">
    <w:abstractNumId w:val="28"/>
  </w:num>
  <w:num w:numId="49">
    <w:abstractNumId w:val="58"/>
  </w:num>
  <w:num w:numId="50">
    <w:abstractNumId w:val="10"/>
  </w:num>
  <w:num w:numId="51">
    <w:abstractNumId w:val="24"/>
  </w:num>
  <w:num w:numId="52">
    <w:abstractNumId w:val="65"/>
  </w:num>
  <w:num w:numId="53">
    <w:abstractNumId w:val="67"/>
  </w:num>
  <w:num w:numId="54">
    <w:abstractNumId w:val="14"/>
  </w:num>
  <w:num w:numId="55">
    <w:abstractNumId w:val="11"/>
  </w:num>
  <w:num w:numId="56">
    <w:abstractNumId w:val="47"/>
  </w:num>
  <w:num w:numId="57">
    <w:abstractNumId w:val="20"/>
  </w:num>
  <w:num w:numId="58">
    <w:abstractNumId w:val="59"/>
  </w:num>
  <w:num w:numId="59">
    <w:abstractNumId w:val="23"/>
  </w:num>
  <w:num w:numId="60">
    <w:abstractNumId w:val="56"/>
  </w:num>
  <w:num w:numId="61">
    <w:abstractNumId w:val="51"/>
  </w:num>
  <w:num w:numId="62">
    <w:abstractNumId w:val="18"/>
  </w:num>
  <w:num w:numId="63">
    <w:abstractNumId w:val="35"/>
  </w:num>
  <w:num w:numId="64">
    <w:abstractNumId w:val="1"/>
  </w:num>
  <w:num w:numId="65">
    <w:abstractNumId w:val="26"/>
  </w:num>
  <w:num w:numId="66">
    <w:abstractNumId w:val="57"/>
  </w:num>
  <w:num w:numId="67">
    <w:abstractNumId w:val="8"/>
  </w:num>
  <w:num w:numId="68">
    <w:abstractNumId w:val="40"/>
  </w:num>
  <w:num w:numId="69">
    <w:abstractNumId w:val="0"/>
  </w:num>
  <w:num w:numId="70">
    <w:abstractNumId w:val="6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hideSpellingErrors/>
  <w:hideGrammaticalErrors/>
  <w:proofState w:spelling="clean" w:grammar="clean"/>
  <w:documentProtection w:edit="trackedChange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GxMDQ1NzAzN7cwNjFR0lEKTi0uzszPAykwrAUA/8Sy3SwAAAA="/>
    <w:docVar w:name="EN.InstantFormat" w:val="&lt;ENInstantFormat&gt;&lt;Enabled&gt;1&lt;/Enabled&gt;&lt;ScanUnformatted&gt;1&lt;/ScanUnformatted&gt;&lt;ScanChanges&gt;1&lt;/ScanChanges&gt;&lt;Suspended&gt;0&lt;/Suspended&gt;&lt;/ENInstantFormat&gt;"/>
    <w:docVar w:name="EN.Layout" w:val="&lt;ENLayout&gt;&lt;Style&gt;Vancouver Copy NEJM&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z9ta0vdo20taoe2rs755tey5tz0xdptttdx&quot;&gt;Ch5&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3&lt;/item&gt;&lt;item&gt;34&lt;/item&gt;&lt;item&gt;38&lt;/item&gt;&lt;item&gt;39&lt;/item&gt;&lt;item&gt;40&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4&lt;/item&gt;&lt;item&gt;95&lt;/item&gt;&lt;item&gt;96&lt;/item&gt;&lt;item&gt;97&lt;/item&gt;&lt;item&gt;98&lt;/item&gt;&lt;item&gt;99&lt;/item&gt;&lt;item&gt;101&lt;/item&gt;&lt;item&gt;102&lt;/item&gt;&lt;item&gt;103&lt;/item&gt;&lt;item&gt;104&lt;/item&gt;&lt;item&gt;105&lt;/item&gt;&lt;item&gt;106&lt;/item&gt;&lt;item&gt;108&lt;/item&gt;&lt;item&gt;109&lt;/item&gt;&lt;item&gt;110&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8&lt;/item&gt;&lt;item&gt;139&lt;/item&gt;&lt;item&gt;140&lt;/item&gt;&lt;item&gt;141&lt;/item&gt;&lt;item&gt;143&lt;/item&gt;&lt;item&gt;144&lt;/item&gt;&lt;item&gt;145&lt;/item&gt;&lt;item&gt;146&lt;/item&gt;&lt;item&gt;148&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8&lt;/item&gt;&lt;item&gt;169&lt;/item&gt;&lt;item&gt;170&lt;/item&gt;&lt;item&gt;171&lt;/item&gt;&lt;item&gt;172&lt;/item&gt;&lt;item&gt;173&lt;/item&gt;&lt;item&gt;174&lt;/item&gt;&lt;item&gt;175&lt;/item&gt;&lt;item&gt;176&lt;/item&gt;&lt;item&gt;177&lt;/item&gt;&lt;item&gt;178&lt;/item&gt;&lt;item&gt;179&lt;/item&gt;&lt;item&gt;180&lt;/item&gt;&lt;item&gt;182&lt;/item&gt;&lt;item&gt;183&lt;/item&gt;&lt;item&gt;185&lt;/item&gt;&lt;item&gt;186&lt;/item&gt;&lt;item&gt;187&lt;/item&gt;&lt;item&gt;188&lt;/item&gt;&lt;item&gt;189&lt;/item&gt;&lt;item&gt;190&lt;/item&gt;&lt;item&gt;191&lt;/item&gt;&lt;item&gt;192&lt;/item&gt;&lt;item&gt;193&lt;/item&gt;&lt;item&gt;194&lt;/item&gt;&lt;item&gt;195&lt;/item&gt;&lt;item&gt;196&lt;/item&gt;&lt;item&gt;197&lt;/item&gt;&lt;item&gt;198&lt;/item&gt;&lt;item&gt;200&lt;/item&gt;&lt;item&gt;201&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3&lt;/item&gt;&lt;item&gt;224&lt;/item&gt;&lt;item&gt;225&lt;/item&gt;&lt;item&gt;226&lt;/item&gt;&lt;item&gt;227&lt;/item&gt;&lt;/record-ids&gt;&lt;/item&gt;&lt;/Libraries&gt;"/>
  </w:docVars>
  <w:rsids>
    <w:rsidRoot w:val="008D0003"/>
    <w:rsid w:val="000009B7"/>
    <w:rsid w:val="000031F4"/>
    <w:rsid w:val="000035A6"/>
    <w:rsid w:val="00003AB4"/>
    <w:rsid w:val="00004DCC"/>
    <w:rsid w:val="00006D7C"/>
    <w:rsid w:val="0001094E"/>
    <w:rsid w:val="00010C7A"/>
    <w:rsid w:val="000133D6"/>
    <w:rsid w:val="0001437D"/>
    <w:rsid w:val="000155DD"/>
    <w:rsid w:val="00017054"/>
    <w:rsid w:val="000176C5"/>
    <w:rsid w:val="00022456"/>
    <w:rsid w:val="00023EDF"/>
    <w:rsid w:val="00024E8B"/>
    <w:rsid w:val="00026E3B"/>
    <w:rsid w:val="0003019E"/>
    <w:rsid w:val="00030C2F"/>
    <w:rsid w:val="0003150C"/>
    <w:rsid w:val="00032651"/>
    <w:rsid w:val="0003402B"/>
    <w:rsid w:val="00034190"/>
    <w:rsid w:val="0003504B"/>
    <w:rsid w:val="00036B7B"/>
    <w:rsid w:val="00040282"/>
    <w:rsid w:val="000407A8"/>
    <w:rsid w:val="00041256"/>
    <w:rsid w:val="00041992"/>
    <w:rsid w:val="000424D1"/>
    <w:rsid w:val="00044ACA"/>
    <w:rsid w:val="00044D5C"/>
    <w:rsid w:val="00045358"/>
    <w:rsid w:val="00045421"/>
    <w:rsid w:val="00047886"/>
    <w:rsid w:val="00050D85"/>
    <w:rsid w:val="0005182C"/>
    <w:rsid w:val="0005234F"/>
    <w:rsid w:val="00056354"/>
    <w:rsid w:val="00057191"/>
    <w:rsid w:val="00057817"/>
    <w:rsid w:val="0006093E"/>
    <w:rsid w:val="00060E44"/>
    <w:rsid w:val="00060E60"/>
    <w:rsid w:val="00061952"/>
    <w:rsid w:val="00062AC5"/>
    <w:rsid w:val="00064833"/>
    <w:rsid w:val="000671F0"/>
    <w:rsid w:val="000728A3"/>
    <w:rsid w:val="00072D79"/>
    <w:rsid w:val="0007309B"/>
    <w:rsid w:val="00074A15"/>
    <w:rsid w:val="00076ACA"/>
    <w:rsid w:val="00076D17"/>
    <w:rsid w:val="0007789F"/>
    <w:rsid w:val="000822BB"/>
    <w:rsid w:val="0008458D"/>
    <w:rsid w:val="00084A51"/>
    <w:rsid w:val="00084C6E"/>
    <w:rsid w:val="00090591"/>
    <w:rsid w:val="00090C9F"/>
    <w:rsid w:val="00092B20"/>
    <w:rsid w:val="0009657E"/>
    <w:rsid w:val="00097627"/>
    <w:rsid w:val="000A078C"/>
    <w:rsid w:val="000A1FC1"/>
    <w:rsid w:val="000B0B3B"/>
    <w:rsid w:val="000B2755"/>
    <w:rsid w:val="000B2D00"/>
    <w:rsid w:val="000B423C"/>
    <w:rsid w:val="000B5075"/>
    <w:rsid w:val="000B607E"/>
    <w:rsid w:val="000C0DC5"/>
    <w:rsid w:val="000C1AD8"/>
    <w:rsid w:val="000C3629"/>
    <w:rsid w:val="000C3D9B"/>
    <w:rsid w:val="000C479B"/>
    <w:rsid w:val="000C6553"/>
    <w:rsid w:val="000C772C"/>
    <w:rsid w:val="000C7AEF"/>
    <w:rsid w:val="000C7FFA"/>
    <w:rsid w:val="000D327B"/>
    <w:rsid w:val="000E1A37"/>
    <w:rsid w:val="000F21BC"/>
    <w:rsid w:val="000F4579"/>
    <w:rsid w:val="000F489E"/>
    <w:rsid w:val="000F5DE0"/>
    <w:rsid w:val="000F739F"/>
    <w:rsid w:val="000F755F"/>
    <w:rsid w:val="001003E8"/>
    <w:rsid w:val="00100D64"/>
    <w:rsid w:val="00103430"/>
    <w:rsid w:val="001037A9"/>
    <w:rsid w:val="0010440F"/>
    <w:rsid w:val="001068AD"/>
    <w:rsid w:val="00107E93"/>
    <w:rsid w:val="001118F9"/>
    <w:rsid w:val="00112C10"/>
    <w:rsid w:val="00112D50"/>
    <w:rsid w:val="001130C1"/>
    <w:rsid w:val="00113B00"/>
    <w:rsid w:val="00114B5E"/>
    <w:rsid w:val="001161CE"/>
    <w:rsid w:val="001207D9"/>
    <w:rsid w:val="00120F55"/>
    <w:rsid w:val="001245CB"/>
    <w:rsid w:val="00124CF0"/>
    <w:rsid w:val="001250F1"/>
    <w:rsid w:val="00130FD5"/>
    <w:rsid w:val="0013150C"/>
    <w:rsid w:val="00131E8D"/>
    <w:rsid w:val="00132118"/>
    <w:rsid w:val="001327B2"/>
    <w:rsid w:val="0013310B"/>
    <w:rsid w:val="001336A5"/>
    <w:rsid w:val="00133BC3"/>
    <w:rsid w:val="00134C61"/>
    <w:rsid w:val="001354F6"/>
    <w:rsid w:val="001378F8"/>
    <w:rsid w:val="00140856"/>
    <w:rsid w:val="00140D33"/>
    <w:rsid w:val="00142DD2"/>
    <w:rsid w:val="0014533E"/>
    <w:rsid w:val="00145E85"/>
    <w:rsid w:val="001469C8"/>
    <w:rsid w:val="00147031"/>
    <w:rsid w:val="0014713C"/>
    <w:rsid w:val="001500A8"/>
    <w:rsid w:val="00152B21"/>
    <w:rsid w:val="0015349C"/>
    <w:rsid w:val="0015392B"/>
    <w:rsid w:val="001548D2"/>
    <w:rsid w:val="00154924"/>
    <w:rsid w:val="00157031"/>
    <w:rsid w:val="001574C8"/>
    <w:rsid w:val="00157E5A"/>
    <w:rsid w:val="00163B6F"/>
    <w:rsid w:val="00163F39"/>
    <w:rsid w:val="00164E22"/>
    <w:rsid w:val="00164E91"/>
    <w:rsid w:val="00164FB5"/>
    <w:rsid w:val="00167455"/>
    <w:rsid w:val="00167AE8"/>
    <w:rsid w:val="00170E98"/>
    <w:rsid w:val="00171858"/>
    <w:rsid w:val="00172241"/>
    <w:rsid w:val="001727AA"/>
    <w:rsid w:val="00174F63"/>
    <w:rsid w:val="00174FC3"/>
    <w:rsid w:val="0017583D"/>
    <w:rsid w:val="00180820"/>
    <w:rsid w:val="00180917"/>
    <w:rsid w:val="001817CC"/>
    <w:rsid w:val="001903BD"/>
    <w:rsid w:val="0019177A"/>
    <w:rsid w:val="00193508"/>
    <w:rsid w:val="001A0740"/>
    <w:rsid w:val="001A0AF3"/>
    <w:rsid w:val="001A160A"/>
    <w:rsid w:val="001A2B1B"/>
    <w:rsid w:val="001A3293"/>
    <w:rsid w:val="001A3E09"/>
    <w:rsid w:val="001A42BF"/>
    <w:rsid w:val="001A536C"/>
    <w:rsid w:val="001A5520"/>
    <w:rsid w:val="001A78CA"/>
    <w:rsid w:val="001B197D"/>
    <w:rsid w:val="001B2D3D"/>
    <w:rsid w:val="001B38FC"/>
    <w:rsid w:val="001B3F54"/>
    <w:rsid w:val="001B4247"/>
    <w:rsid w:val="001B4A86"/>
    <w:rsid w:val="001B667C"/>
    <w:rsid w:val="001B6B91"/>
    <w:rsid w:val="001C1F8D"/>
    <w:rsid w:val="001C21E7"/>
    <w:rsid w:val="001C2253"/>
    <w:rsid w:val="001C2897"/>
    <w:rsid w:val="001C2E99"/>
    <w:rsid w:val="001C426E"/>
    <w:rsid w:val="001C4435"/>
    <w:rsid w:val="001C466C"/>
    <w:rsid w:val="001C6275"/>
    <w:rsid w:val="001C6D3A"/>
    <w:rsid w:val="001D09E2"/>
    <w:rsid w:val="001D317F"/>
    <w:rsid w:val="001D5C5E"/>
    <w:rsid w:val="001D6D3B"/>
    <w:rsid w:val="001D72D1"/>
    <w:rsid w:val="001E0F74"/>
    <w:rsid w:val="001E3241"/>
    <w:rsid w:val="001E3CA3"/>
    <w:rsid w:val="001E6132"/>
    <w:rsid w:val="001F03AA"/>
    <w:rsid w:val="001F05FF"/>
    <w:rsid w:val="001F0CEA"/>
    <w:rsid w:val="001F1CAC"/>
    <w:rsid w:val="001F20C6"/>
    <w:rsid w:val="001F31F3"/>
    <w:rsid w:val="001F391A"/>
    <w:rsid w:val="001F4578"/>
    <w:rsid w:val="001F4BEA"/>
    <w:rsid w:val="00200340"/>
    <w:rsid w:val="00202B09"/>
    <w:rsid w:val="00206805"/>
    <w:rsid w:val="002134B0"/>
    <w:rsid w:val="002135A3"/>
    <w:rsid w:val="0021373A"/>
    <w:rsid w:val="002155ED"/>
    <w:rsid w:val="00215DC2"/>
    <w:rsid w:val="0022022C"/>
    <w:rsid w:val="002203CD"/>
    <w:rsid w:val="002206B0"/>
    <w:rsid w:val="002207FC"/>
    <w:rsid w:val="002339AD"/>
    <w:rsid w:val="00236401"/>
    <w:rsid w:val="00236FEB"/>
    <w:rsid w:val="002439F9"/>
    <w:rsid w:val="002445DC"/>
    <w:rsid w:val="00244834"/>
    <w:rsid w:val="0024585B"/>
    <w:rsid w:val="00247404"/>
    <w:rsid w:val="002504FF"/>
    <w:rsid w:val="00252B1F"/>
    <w:rsid w:val="002534A0"/>
    <w:rsid w:val="00253B78"/>
    <w:rsid w:val="002546D6"/>
    <w:rsid w:val="002565C3"/>
    <w:rsid w:val="002569DB"/>
    <w:rsid w:val="00260994"/>
    <w:rsid w:val="00261FD5"/>
    <w:rsid w:val="0026224C"/>
    <w:rsid w:val="00262749"/>
    <w:rsid w:val="002631F0"/>
    <w:rsid w:val="0026346D"/>
    <w:rsid w:val="00266143"/>
    <w:rsid w:val="00267E1B"/>
    <w:rsid w:val="0027177F"/>
    <w:rsid w:val="00273823"/>
    <w:rsid w:val="0027547E"/>
    <w:rsid w:val="0027657E"/>
    <w:rsid w:val="002769CB"/>
    <w:rsid w:val="0027799D"/>
    <w:rsid w:val="002805C0"/>
    <w:rsid w:val="0028164C"/>
    <w:rsid w:val="00282733"/>
    <w:rsid w:val="002859E8"/>
    <w:rsid w:val="00285AFA"/>
    <w:rsid w:val="0028650C"/>
    <w:rsid w:val="0029030D"/>
    <w:rsid w:val="00290EDE"/>
    <w:rsid w:val="002921D3"/>
    <w:rsid w:val="002956D0"/>
    <w:rsid w:val="002A1BD2"/>
    <w:rsid w:val="002A1DAD"/>
    <w:rsid w:val="002A2AE0"/>
    <w:rsid w:val="002A4207"/>
    <w:rsid w:val="002A5E21"/>
    <w:rsid w:val="002A5F33"/>
    <w:rsid w:val="002A620F"/>
    <w:rsid w:val="002A68D9"/>
    <w:rsid w:val="002A751E"/>
    <w:rsid w:val="002A766A"/>
    <w:rsid w:val="002B09EE"/>
    <w:rsid w:val="002B0E5A"/>
    <w:rsid w:val="002B1C87"/>
    <w:rsid w:val="002B280E"/>
    <w:rsid w:val="002B3E5B"/>
    <w:rsid w:val="002B575D"/>
    <w:rsid w:val="002B64CB"/>
    <w:rsid w:val="002B6ACA"/>
    <w:rsid w:val="002B7BBF"/>
    <w:rsid w:val="002C0713"/>
    <w:rsid w:val="002C084E"/>
    <w:rsid w:val="002C085D"/>
    <w:rsid w:val="002C1307"/>
    <w:rsid w:val="002C3355"/>
    <w:rsid w:val="002C61E2"/>
    <w:rsid w:val="002C6A7A"/>
    <w:rsid w:val="002D11A9"/>
    <w:rsid w:val="002D2FEE"/>
    <w:rsid w:val="002D31A5"/>
    <w:rsid w:val="002D4B96"/>
    <w:rsid w:val="002D5FAA"/>
    <w:rsid w:val="002D72C9"/>
    <w:rsid w:val="002E03B2"/>
    <w:rsid w:val="002E0EE4"/>
    <w:rsid w:val="002E3536"/>
    <w:rsid w:val="002E6130"/>
    <w:rsid w:val="002F0AD1"/>
    <w:rsid w:val="002F0D6C"/>
    <w:rsid w:val="002F101A"/>
    <w:rsid w:val="002F2EDA"/>
    <w:rsid w:val="002F4DFA"/>
    <w:rsid w:val="002F56D7"/>
    <w:rsid w:val="002F77E9"/>
    <w:rsid w:val="002F7EED"/>
    <w:rsid w:val="00301805"/>
    <w:rsid w:val="003026C2"/>
    <w:rsid w:val="00303939"/>
    <w:rsid w:val="003048CC"/>
    <w:rsid w:val="00304922"/>
    <w:rsid w:val="00305683"/>
    <w:rsid w:val="00306A34"/>
    <w:rsid w:val="00313318"/>
    <w:rsid w:val="00313E1A"/>
    <w:rsid w:val="0031486D"/>
    <w:rsid w:val="0031496C"/>
    <w:rsid w:val="00314E5C"/>
    <w:rsid w:val="00315191"/>
    <w:rsid w:val="00315E17"/>
    <w:rsid w:val="00320699"/>
    <w:rsid w:val="00320BDD"/>
    <w:rsid w:val="00321377"/>
    <w:rsid w:val="00324F92"/>
    <w:rsid w:val="003335BF"/>
    <w:rsid w:val="00333991"/>
    <w:rsid w:val="00335E23"/>
    <w:rsid w:val="00335F38"/>
    <w:rsid w:val="00337266"/>
    <w:rsid w:val="00340418"/>
    <w:rsid w:val="00340710"/>
    <w:rsid w:val="003416E2"/>
    <w:rsid w:val="00344BCD"/>
    <w:rsid w:val="003450AE"/>
    <w:rsid w:val="00346AD5"/>
    <w:rsid w:val="0035198F"/>
    <w:rsid w:val="00353E6A"/>
    <w:rsid w:val="00357B10"/>
    <w:rsid w:val="00361CA7"/>
    <w:rsid w:val="00362844"/>
    <w:rsid w:val="00362A23"/>
    <w:rsid w:val="0036502D"/>
    <w:rsid w:val="00367069"/>
    <w:rsid w:val="003677F8"/>
    <w:rsid w:val="0037070E"/>
    <w:rsid w:val="00374737"/>
    <w:rsid w:val="00375C6C"/>
    <w:rsid w:val="00376F8D"/>
    <w:rsid w:val="0037714A"/>
    <w:rsid w:val="003772AA"/>
    <w:rsid w:val="00380A6B"/>
    <w:rsid w:val="00380D9F"/>
    <w:rsid w:val="00384A04"/>
    <w:rsid w:val="00386755"/>
    <w:rsid w:val="00387896"/>
    <w:rsid w:val="0039003F"/>
    <w:rsid w:val="00390B92"/>
    <w:rsid w:val="00390F6C"/>
    <w:rsid w:val="00392691"/>
    <w:rsid w:val="00396C71"/>
    <w:rsid w:val="00397140"/>
    <w:rsid w:val="00397908"/>
    <w:rsid w:val="003A067A"/>
    <w:rsid w:val="003A1709"/>
    <w:rsid w:val="003A20C6"/>
    <w:rsid w:val="003A2308"/>
    <w:rsid w:val="003A28E6"/>
    <w:rsid w:val="003A4532"/>
    <w:rsid w:val="003A65FC"/>
    <w:rsid w:val="003A76BD"/>
    <w:rsid w:val="003B346B"/>
    <w:rsid w:val="003B54F2"/>
    <w:rsid w:val="003C0AE8"/>
    <w:rsid w:val="003C0D37"/>
    <w:rsid w:val="003C187F"/>
    <w:rsid w:val="003C1A8D"/>
    <w:rsid w:val="003C2850"/>
    <w:rsid w:val="003C2A5D"/>
    <w:rsid w:val="003C4A9F"/>
    <w:rsid w:val="003C5F6B"/>
    <w:rsid w:val="003C6594"/>
    <w:rsid w:val="003D26B8"/>
    <w:rsid w:val="003D34A2"/>
    <w:rsid w:val="003D4FCC"/>
    <w:rsid w:val="003D759E"/>
    <w:rsid w:val="003D7FEF"/>
    <w:rsid w:val="003E1367"/>
    <w:rsid w:val="003E1D95"/>
    <w:rsid w:val="003E1DA7"/>
    <w:rsid w:val="003E2689"/>
    <w:rsid w:val="003E269B"/>
    <w:rsid w:val="003E33F1"/>
    <w:rsid w:val="003E681D"/>
    <w:rsid w:val="003E749D"/>
    <w:rsid w:val="003E79D2"/>
    <w:rsid w:val="003F2973"/>
    <w:rsid w:val="003F612B"/>
    <w:rsid w:val="0040072B"/>
    <w:rsid w:val="00400FE4"/>
    <w:rsid w:val="004011CB"/>
    <w:rsid w:val="004014CA"/>
    <w:rsid w:val="00404547"/>
    <w:rsid w:val="0041462E"/>
    <w:rsid w:val="00414CD2"/>
    <w:rsid w:val="00414CE4"/>
    <w:rsid w:val="004162AD"/>
    <w:rsid w:val="00417D7E"/>
    <w:rsid w:val="00424DB2"/>
    <w:rsid w:val="004257CD"/>
    <w:rsid w:val="004358D0"/>
    <w:rsid w:val="00436E45"/>
    <w:rsid w:val="00441D00"/>
    <w:rsid w:val="00442220"/>
    <w:rsid w:val="00442ED0"/>
    <w:rsid w:val="00446C86"/>
    <w:rsid w:val="00446FDD"/>
    <w:rsid w:val="00451083"/>
    <w:rsid w:val="00451CD8"/>
    <w:rsid w:val="00452284"/>
    <w:rsid w:val="0045274A"/>
    <w:rsid w:val="00453D18"/>
    <w:rsid w:val="00457948"/>
    <w:rsid w:val="004612F2"/>
    <w:rsid w:val="004612F9"/>
    <w:rsid w:val="00462BA2"/>
    <w:rsid w:val="00462BAF"/>
    <w:rsid w:val="004641E1"/>
    <w:rsid w:val="00464AF5"/>
    <w:rsid w:val="0046602C"/>
    <w:rsid w:val="0046632E"/>
    <w:rsid w:val="00466D1B"/>
    <w:rsid w:val="0046750D"/>
    <w:rsid w:val="00472535"/>
    <w:rsid w:val="004727C0"/>
    <w:rsid w:val="00472B93"/>
    <w:rsid w:val="0047355E"/>
    <w:rsid w:val="004739B5"/>
    <w:rsid w:val="00474AD5"/>
    <w:rsid w:val="00480753"/>
    <w:rsid w:val="00480E45"/>
    <w:rsid w:val="00482E53"/>
    <w:rsid w:val="00484E00"/>
    <w:rsid w:val="00485F3D"/>
    <w:rsid w:val="00486789"/>
    <w:rsid w:val="004870E1"/>
    <w:rsid w:val="00487C3F"/>
    <w:rsid w:val="00491124"/>
    <w:rsid w:val="004931C0"/>
    <w:rsid w:val="00497352"/>
    <w:rsid w:val="004A0507"/>
    <w:rsid w:val="004A3044"/>
    <w:rsid w:val="004A411D"/>
    <w:rsid w:val="004A4B98"/>
    <w:rsid w:val="004A6C83"/>
    <w:rsid w:val="004A77BE"/>
    <w:rsid w:val="004A7E6C"/>
    <w:rsid w:val="004B1456"/>
    <w:rsid w:val="004B51BF"/>
    <w:rsid w:val="004C0DAD"/>
    <w:rsid w:val="004C6B4E"/>
    <w:rsid w:val="004D23C4"/>
    <w:rsid w:val="004D388D"/>
    <w:rsid w:val="004D4157"/>
    <w:rsid w:val="004D4313"/>
    <w:rsid w:val="004D69C7"/>
    <w:rsid w:val="004D6D5E"/>
    <w:rsid w:val="004D6F58"/>
    <w:rsid w:val="004D7AF5"/>
    <w:rsid w:val="004E1F7E"/>
    <w:rsid w:val="004E2D49"/>
    <w:rsid w:val="004E3F03"/>
    <w:rsid w:val="004E4E60"/>
    <w:rsid w:val="004E6836"/>
    <w:rsid w:val="004F466E"/>
    <w:rsid w:val="005031B0"/>
    <w:rsid w:val="00507779"/>
    <w:rsid w:val="00507A84"/>
    <w:rsid w:val="00512D08"/>
    <w:rsid w:val="00513317"/>
    <w:rsid w:val="00517E10"/>
    <w:rsid w:val="0052131F"/>
    <w:rsid w:val="00524F62"/>
    <w:rsid w:val="00526BD1"/>
    <w:rsid w:val="00526FFD"/>
    <w:rsid w:val="0053107F"/>
    <w:rsid w:val="00532527"/>
    <w:rsid w:val="00533D40"/>
    <w:rsid w:val="00536A7E"/>
    <w:rsid w:val="0053743D"/>
    <w:rsid w:val="00540763"/>
    <w:rsid w:val="00542561"/>
    <w:rsid w:val="00543DE2"/>
    <w:rsid w:val="0054644B"/>
    <w:rsid w:val="00547910"/>
    <w:rsid w:val="0055125D"/>
    <w:rsid w:val="00551F23"/>
    <w:rsid w:val="005540D1"/>
    <w:rsid w:val="005547CE"/>
    <w:rsid w:val="00555D9D"/>
    <w:rsid w:val="00556BE6"/>
    <w:rsid w:val="0056016B"/>
    <w:rsid w:val="00560310"/>
    <w:rsid w:val="00560709"/>
    <w:rsid w:val="00562C4F"/>
    <w:rsid w:val="00566715"/>
    <w:rsid w:val="00570D87"/>
    <w:rsid w:val="00571417"/>
    <w:rsid w:val="00571E5C"/>
    <w:rsid w:val="005722EE"/>
    <w:rsid w:val="005728F8"/>
    <w:rsid w:val="00574245"/>
    <w:rsid w:val="005802CE"/>
    <w:rsid w:val="00580C6F"/>
    <w:rsid w:val="005825EE"/>
    <w:rsid w:val="00583465"/>
    <w:rsid w:val="00583667"/>
    <w:rsid w:val="00586BE9"/>
    <w:rsid w:val="00587761"/>
    <w:rsid w:val="00590755"/>
    <w:rsid w:val="00593298"/>
    <w:rsid w:val="0059379E"/>
    <w:rsid w:val="00594646"/>
    <w:rsid w:val="005956C4"/>
    <w:rsid w:val="00596171"/>
    <w:rsid w:val="00596635"/>
    <w:rsid w:val="00596FD1"/>
    <w:rsid w:val="00597FCA"/>
    <w:rsid w:val="005A1F30"/>
    <w:rsid w:val="005A2055"/>
    <w:rsid w:val="005A2626"/>
    <w:rsid w:val="005A3BB3"/>
    <w:rsid w:val="005A3C2D"/>
    <w:rsid w:val="005A473A"/>
    <w:rsid w:val="005A6BDF"/>
    <w:rsid w:val="005A701B"/>
    <w:rsid w:val="005B0AFF"/>
    <w:rsid w:val="005B37D6"/>
    <w:rsid w:val="005B5EE3"/>
    <w:rsid w:val="005B6EDA"/>
    <w:rsid w:val="005B74F5"/>
    <w:rsid w:val="005C21F4"/>
    <w:rsid w:val="005C3AA9"/>
    <w:rsid w:val="005C490D"/>
    <w:rsid w:val="005C6792"/>
    <w:rsid w:val="005C7A41"/>
    <w:rsid w:val="005C7B95"/>
    <w:rsid w:val="005D0A68"/>
    <w:rsid w:val="005D0B53"/>
    <w:rsid w:val="005D19AA"/>
    <w:rsid w:val="005D2081"/>
    <w:rsid w:val="005D3852"/>
    <w:rsid w:val="005D58AE"/>
    <w:rsid w:val="005D6CAA"/>
    <w:rsid w:val="005D75C2"/>
    <w:rsid w:val="005E075F"/>
    <w:rsid w:val="005E2347"/>
    <w:rsid w:val="005E31A4"/>
    <w:rsid w:val="005E53EB"/>
    <w:rsid w:val="005E556B"/>
    <w:rsid w:val="005E7207"/>
    <w:rsid w:val="005E7C70"/>
    <w:rsid w:val="005F507A"/>
    <w:rsid w:val="005F6BA9"/>
    <w:rsid w:val="00601CB6"/>
    <w:rsid w:val="00604C33"/>
    <w:rsid w:val="00604E95"/>
    <w:rsid w:val="006075F0"/>
    <w:rsid w:val="0060785D"/>
    <w:rsid w:val="006100C3"/>
    <w:rsid w:val="00610519"/>
    <w:rsid w:val="0061493D"/>
    <w:rsid w:val="00615C53"/>
    <w:rsid w:val="00620946"/>
    <w:rsid w:val="00620F4E"/>
    <w:rsid w:val="006217AE"/>
    <w:rsid w:val="0062293B"/>
    <w:rsid w:val="00622BC3"/>
    <w:rsid w:val="00623C42"/>
    <w:rsid w:val="00625AD3"/>
    <w:rsid w:val="00625BE4"/>
    <w:rsid w:val="00630C1C"/>
    <w:rsid w:val="00631B66"/>
    <w:rsid w:val="0063342C"/>
    <w:rsid w:val="00634925"/>
    <w:rsid w:val="0063492B"/>
    <w:rsid w:val="0063550D"/>
    <w:rsid w:val="00636071"/>
    <w:rsid w:val="0063749E"/>
    <w:rsid w:val="00642BA4"/>
    <w:rsid w:val="006446E1"/>
    <w:rsid w:val="00646A8B"/>
    <w:rsid w:val="00650101"/>
    <w:rsid w:val="0065073B"/>
    <w:rsid w:val="00651C18"/>
    <w:rsid w:val="00653B85"/>
    <w:rsid w:val="006559BE"/>
    <w:rsid w:val="00657D59"/>
    <w:rsid w:val="006601C9"/>
    <w:rsid w:val="00661527"/>
    <w:rsid w:val="0066181F"/>
    <w:rsid w:val="006639CE"/>
    <w:rsid w:val="00665212"/>
    <w:rsid w:val="006666C5"/>
    <w:rsid w:val="00666726"/>
    <w:rsid w:val="006705D8"/>
    <w:rsid w:val="00670651"/>
    <w:rsid w:val="0067215C"/>
    <w:rsid w:val="00673771"/>
    <w:rsid w:val="00673836"/>
    <w:rsid w:val="00677C60"/>
    <w:rsid w:val="00677FDB"/>
    <w:rsid w:val="006864D3"/>
    <w:rsid w:val="00690E82"/>
    <w:rsid w:val="00691B8F"/>
    <w:rsid w:val="00692D1B"/>
    <w:rsid w:val="006934B8"/>
    <w:rsid w:val="0069539A"/>
    <w:rsid w:val="006A031D"/>
    <w:rsid w:val="006A68E8"/>
    <w:rsid w:val="006B1106"/>
    <w:rsid w:val="006B2E87"/>
    <w:rsid w:val="006B40FA"/>
    <w:rsid w:val="006B4E02"/>
    <w:rsid w:val="006B75B2"/>
    <w:rsid w:val="006C215A"/>
    <w:rsid w:val="006C2B22"/>
    <w:rsid w:val="006C2D35"/>
    <w:rsid w:val="006C3759"/>
    <w:rsid w:val="006C49CB"/>
    <w:rsid w:val="006C53F6"/>
    <w:rsid w:val="006C6F35"/>
    <w:rsid w:val="006C7CC3"/>
    <w:rsid w:val="006D1885"/>
    <w:rsid w:val="006D1F55"/>
    <w:rsid w:val="006D2F43"/>
    <w:rsid w:val="006D3ABF"/>
    <w:rsid w:val="006D6490"/>
    <w:rsid w:val="006D6A11"/>
    <w:rsid w:val="006D6FFB"/>
    <w:rsid w:val="006D7A70"/>
    <w:rsid w:val="006E0757"/>
    <w:rsid w:val="006E209F"/>
    <w:rsid w:val="006E5171"/>
    <w:rsid w:val="006E77A0"/>
    <w:rsid w:val="006F0431"/>
    <w:rsid w:val="006F2C0A"/>
    <w:rsid w:val="006F3F8A"/>
    <w:rsid w:val="006F4461"/>
    <w:rsid w:val="006F5CE3"/>
    <w:rsid w:val="006F674C"/>
    <w:rsid w:val="006F6C0C"/>
    <w:rsid w:val="0070061D"/>
    <w:rsid w:val="00702A2F"/>
    <w:rsid w:val="00704293"/>
    <w:rsid w:val="00705566"/>
    <w:rsid w:val="00705AD3"/>
    <w:rsid w:val="00706218"/>
    <w:rsid w:val="0070762D"/>
    <w:rsid w:val="0070789A"/>
    <w:rsid w:val="00713F7D"/>
    <w:rsid w:val="00716145"/>
    <w:rsid w:val="00722EC0"/>
    <w:rsid w:val="00723E8C"/>
    <w:rsid w:val="007269D8"/>
    <w:rsid w:val="0072764F"/>
    <w:rsid w:val="0073640F"/>
    <w:rsid w:val="00740949"/>
    <w:rsid w:val="0074177F"/>
    <w:rsid w:val="0074245D"/>
    <w:rsid w:val="00743480"/>
    <w:rsid w:val="00744EAE"/>
    <w:rsid w:val="00746AC4"/>
    <w:rsid w:val="00750F41"/>
    <w:rsid w:val="00751708"/>
    <w:rsid w:val="007518E3"/>
    <w:rsid w:val="00752D6B"/>
    <w:rsid w:val="00753ACF"/>
    <w:rsid w:val="0075772F"/>
    <w:rsid w:val="00761755"/>
    <w:rsid w:val="0076297A"/>
    <w:rsid w:val="007637A3"/>
    <w:rsid w:val="00763E03"/>
    <w:rsid w:val="007661BF"/>
    <w:rsid w:val="00767903"/>
    <w:rsid w:val="00770599"/>
    <w:rsid w:val="00771156"/>
    <w:rsid w:val="00772352"/>
    <w:rsid w:val="00772E2C"/>
    <w:rsid w:val="00773045"/>
    <w:rsid w:val="0077389C"/>
    <w:rsid w:val="00776247"/>
    <w:rsid w:val="00781748"/>
    <w:rsid w:val="007823C4"/>
    <w:rsid w:val="00784A46"/>
    <w:rsid w:val="00784AA6"/>
    <w:rsid w:val="00791063"/>
    <w:rsid w:val="00791693"/>
    <w:rsid w:val="007918C9"/>
    <w:rsid w:val="00792A1A"/>
    <w:rsid w:val="007932EE"/>
    <w:rsid w:val="00793839"/>
    <w:rsid w:val="00797194"/>
    <w:rsid w:val="007A092A"/>
    <w:rsid w:val="007A0B80"/>
    <w:rsid w:val="007A1E19"/>
    <w:rsid w:val="007A4555"/>
    <w:rsid w:val="007A6D5F"/>
    <w:rsid w:val="007B3A2D"/>
    <w:rsid w:val="007B3DDA"/>
    <w:rsid w:val="007B47B5"/>
    <w:rsid w:val="007B49C3"/>
    <w:rsid w:val="007B60E0"/>
    <w:rsid w:val="007B628E"/>
    <w:rsid w:val="007B77AC"/>
    <w:rsid w:val="007B7CFD"/>
    <w:rsid w:val="007C2D7D"/>
    <w:rsid w:val="007C3360"/>
    <w:rsid w:val="007C43C7"/>
    <w:rsid w:val="007C5F26"/>
    <w:rsid w:val="007C6212"/>
    <w:rsid w:val="007C7511"/>
    <w:rsid w:val="007D09A6"/>
    <w:rsid w:val="007D12CF"/>
    <w:rsid w:val="007D17D5"/>
    <w:rsid w:val="007D30EE"/>
    <w:rsid w:val="007D37F1"/>
    <w:rsid w:val="007D43A1"/>
    <w:rsid w:val="007D4540"/>
    <w:rsid w:val="007D703E"/>
    <w:rsid w:val="007D784A"/>
    <w:rsid w:val="007E0BCE"/>
    <w:rsid w:val="007E2937"/>
    <w:rsid w:val="007E2A3C"/>
    <w:rsid w:val="007E38B3"/>
    <w:rsid w:val="007E3EE5"/>
    <w:rsid w:val="007E3FA8"/>
    <w:rsid w:val="007F068D"/>
    <w:rsid w:val="007F0AB2"/>
    <w:rsid w:val="007F100F"/>
    <w:rsid w:val="007F2799"/>
    <w:rsid w:val="007F6CB0"/>
    <w:rsid w:val="007F7595"/>
    <w:rsid w:val="007F7E4A"/>
    <w:rsid w:val="0080092B"/>
    <w:rsid w:val="0080117D"/>
    <w:rsid w:val="00803C8C"/>
    <w:rsid w:val="00803CAB"/>
    <w:rsid w:val="0080404D"/>
    <w:rsid w:val="00804B37"/>
    <w:rsid w:val="00805EF4"/>
    <w:rsid w:val="00806B31"/>
    <w:rsid w:val="00806B5B"/>
    <w:rsid w:val="00810618"/>
    <w:rsid w:val="00813302"/>
    <w:rsid w:val="00813964"/>
    <w:rsid w:val="00813DA7"/>
    <w:rsid w:val="008150BD"/>
    <w:rsid w:val="00815CF9"/>
    <w:rsid w:val="00816C9D"/>
    <w:rsid w:val="00816F48"/>
    <w:rsid w:val="00821B7C"/>
    <w:rsid w:val="0082246F"/>
    <w:rsid w:val="00822A58"/>
    <w:rsid w:val="00822F21"/>
    <w:rsid w:val="00823FBD"/>
    <w:rsid w:val="00823FF8"/>
    <w:rsid w:val="00827616"/>
    <w:rsid w:val="008319DB"/>
    <w:rsid w:val="008322EF"/>
    <w:rsid w:val="00832CE7"/>
    <w:rsid w:val="00834A98"/>
    <w:rsid w:val="0084050C"/>
    <w:rsid w:val="00840AD1"/>
    <w:rsid w:val="0084328D"/>
    <w:rsid w:val="00845562"/>
    <w:rsid w:val="00846A3C"/>
    <w:rsid w:val="008470C6"/>
    <w:rsid w:val="008477A1"/>
    <w:rsid w:val="00851417"/>
    <w:rsid w:val="00852285"/>
    <w:rsid w:val="008605B5"/>
    <w:rsid w:val="00862682"/>
    <w:rsid w:val="00862CA7"/>
    <w:rsid w:val="00862FCD"/>
    <w:rsid w:val="008631DA"/>
    <w:rsid w:val="008673E3"/>
    <w:rsid w:val="0086754F"/>
    <w:rsid w:val="00871B6A"/>
    <w:rsid w:val="00872366"/>
    <w:rsid w:val="00872B57"/>
    <w:rsid w:val="0087762C"/>
    <w:rsid w:val="008777FD"/>
    <w:rsid w:val="00877952"/>
    <w:rsid w:val="00880E51"/>
    <w:rsid w:val="008819BB"/>
    <w:rsid w:val="00882E3C"/>
    <w:rsid w:val="008839F0"/>
    <w:rsid w:val="00883AF1"/>
    <w:rsid w:val="0088518B"/>
    <w:rsid w:val="00886359"/>
    <w:rsid w:val="00886C88"/>
    <w:rsid w:val="00887BAB"/>
    <w:rsid w:val="00890B45"/>
    <w:rsid w:val="00890E69"/>
    <w:rsid w:val="008923C3"/>
    <w:rsid w:val="00893093"/>
    <w:rsid w:val="00893CEA"/>
    <w:rsid w:val="0089477D"/>
    <w:rsid w:val="00895004"/>
    <w:rsid w:val="00895E32"/>
    <w:rsid w:val="0089659C"/>
    <w:rsid w:val="008A1748"/>
    <w:rsid w:val="008A1B73"/>
    <w:rsid w:val="008A3A1D"/>
    <w:rsid w:val="008A47C6"/>
    <w:rsid w:val="008B1267"/>
    <w:rsid w:val="008B2672"/>
    <w:rsid w:val="008B2802"/>
    <w:rsid w:val="008B3B8A"/>
    <w:rsid w:val="008B485C"/>
    <w:rsid w:val="008C0A23"/>
    <w:rsid w:val="008C3CAE"/>
    <w:rsid w:val="008C4E61"/>
    <w:rsid w:val="008C5051"/>
    <w:rsid w:val="008C7774"/>
    <w:rsid w:val="008C7A54"/>
    <w:rsid w:val="008C7D6E"/>
    <w:rsid w:val="008D0003"/>
    <w:rsid w:val="008D3BB5"/>
    <w:rsid w:val="008D79D5"/>
    <w:rsid w:val="008E04F4"/>
    <w:rsid w:val="008E0A1E"/>
    <w:rsid w:val="008E4B84"/>
    <w:rsid w:val="008E505D"/>
    <w:rsid w:val="008F1311"/>
    <w:rsid w:val="008F16B9"/>
    <w:rsid w:val="008F2FC8"/>
    <w:rsid w:val="008F3F51"/>
    <w:rsid w:val="008F4789"/>
    <w:rsid w:val="008F4D79"/>
    <w:rsid w:val="008F4D94"/>
    <w:rsid w:val="008F6343"/>
    <w:rsid w:val="008F660E"/>
    <w:rsid w:val="008F7051"/>
    <w:rsid w:val="009002B8"/>
    <w:rsid w:val="009014F0"/>
    <w:rsid w:val="009048FC"/>
    <w:rsid w:val="00905ED4"/>
    <w:rsid w:val="00907935"/>
    <w:rsid w:val="00907B1F"/>
    <w:rsid w:val="00910545"/>
    <w:rsid w:val="00910B3A"/>
    <w:rsid w:val="00912247"/>
    <w:rsid w:val="00914626"/>
    <w:rsid w:val="00916498"/>
    <w:rsid w:val="00917D36"/>
    <w:rsid w:val="009200BC"/>
    <w:rsid w:val="0092457C"/>
    <w:rsid w:val="00924C3E"/>
    <w:rsid w:val="00925EE3"/>
    <w:rsid w:val="00926AFA"/>
    <w:rsid w:val="00927BAF"/>
    <w:rsid w:val="00927FA9"/>
    <w:rsid w:val="00932355"/>
    <w:rsid w:val="00932A2C"/>
    <w:rsid w:val="0093379B"/>
    <w:rsid w:val="009343DA"/>
    <w:rsid w:val="00936F27"/>
    <w:rsid w:val="00937CA9"/>
    <w:rsid w:val="00940016"/>
    <w:rsid w:val="009414AC"/>
    <w:rsid w:val="00942691"/>
    <w:rsid w:val="00942B9A"/>
    <w:rsid w:val="00945690"/>
    <w:rsid w:val="00947619"/>
    <w:rsid w:val="009519E4"/>
    <w:rsid w:val="009523A0"/>
    <w:rsid w:val="0095253F"/>
    <w:rsid w:val="00952B1F"/>
    <w:rsid w:val="00953221"/>
    <w:rsid w:val="0095391D"/>
    <w:rsid w:val="0095652C"/>
    <w:rsid w:val="00956ADE"/>
    <w:rsid w:val="00963FDD"/>
    <w:rsid w:val="009644E7"/>
    <w:rsid w:val="0096769C"/>
    <w:rsid w:val="0096773B"/>
    <w:rsid w:val="00970443"/>
    <w:rsid w:val="00971107"/>
    <w:rsid w:val="00972D0D"/>
    <w:rsid w:val="00974C95"/>
    <w:rsid w:val="00976211"/>
    <w:rsid w:val="009775D5"/>
    <w:rsid w:val="00980C54"/>
    <w:rsid w:val="0098262A"/>
    <w:rsid w:val="0098400F"/>
    <w:rsid w:val="009877E8"/>
    <w:rsid w:val="00987AF3"/>
    <w:rsid w:val="00987BD5"/>
    <w:rsid w:val="009910AD"/>
    <w:rsid w:val="009917CB"/>
    <w:rsid w:val="00995D3A"/>
    <w:rsid w:val="0099634A"/>
    <w:rsid w:val="009974CB"/>
    <w:rsid w:val="009A06D5"/>
    <w:rsid w:val="009A0E9A"/>
    <w:rsid w:val="009A1D50"/>
    <w:rsid w:val="009B1E2D"/>
    <w:rsid w:val="009B24D3"/>
    <w:rsid w:val="009B4D7E"/>
    <w:rsid w:val="009B61FD"/>
    <w:rsid w:val="009B6F50"/>
    <w:rsid w:val="009C36F0"/>
    <w:rsid w:val="009C4C83"/>
    <w:rsid w:val="009D25C2"/>
    <w:rsid w:val="009D3668"/>
    <w:rsid w:val="009D4E23"/>
    <w:rsid w:val="009D7105"/>
    <w:rsid w:val="009E0A4A"/>
    <w:rsid w:val="009E0B0A"/>
    <w:rsid w:val="009E158D"/>
    <w:rsid w:val="009E1F1A"/>
    <w:rsid w:val="009E2D70"/>
    <w:rsid w:val="009E5570"/>
    <w:rsid w:val="009E7AA1"/>
    <w:rsid w:val="009F0A5A"/>
    <w:rsid w:val="009F3424"/>
    <w:rsid w:val="009F3E89"/>
    <w:rsid w:val="009F4FA1"/>
    <w:rsid w:val="009F52C1"/>
    <w:rsid w:val="009F6BE4"/>
    <w:rsid w:val="00A003A4"/>
    <w:rsid w:val="00A00D50"/>
    <w:rsid w:val="00A01285"/>
    <w:rsid w:val="00A03337"/>
    <w:rsid w:val="00A04184"/>
    <w:rsid w:val="00A04477"/>
    <w:rsid w:val="00A04FAF"/>
    <w:rsid w:val="00A0652A"/>
    <w:rsid w:val="00A079A7"/>
    <w:rsid w:val="00A10C2F"/>
    <w:rsid w:val="00A12EF8"/>
    <w:rsid w:val="00A14782"/>
    <w:rsid w:val="00A14CF3"/>
    <w:rsid w:val="00A15474"/>
    <w:rsid w:val="00A20845"/>
    <w:rsid w:val="00A24538"/>
    <w:rsid w:val="00A275B1"/>
    <w:rsid w:val="00A27F1A"/>
    <w:rsid w:val="00A33EBC"/>
    <w:rsid w:val="00A34104"/>
    <w:rsid w:val="00A3772E"/>
    <w:rsid w:val="00A37953"/>
    <w:rsid w:val="00A40D86"/>
    <w:rsid w:val="00A42322"/>
    <w:rsid w:val="00A45299"/>
    <w:rsid w:val="00A46274"/>
    <w:rsid w:val="00A5274B"/>
    <w:rsid w:val="00A52ED2"/>
    <w:rsid w:val="00A57849"/>
    <w:rsid w:val="00A61680"/>
    <w:rsid w:val="00A629C4"/>
    <w:rsid w:val="00A64E29"/>
    <w:rsid w:val="00A65001"/>
    <w:rsid w:val="00A75852"/>
    <w:rsid w:val="00A75BF0"/>
    <w:rsid w:val="00A81274"/>
    <w:rsid w:val="00A83721"/>
    <w:rsid w:val="00A83A16"/>
    <w:rsid w:val="00A8414A"/>
    <w:rsid w:val="00A84766"/>
    <w:rsid w:val="00A86A04"/>
    <w:rsid w:val="00A90313"/>
    <w:rsid w:val="00A90563"/>
    <w:rsid w:val="00A90AFF"/>
    <w:rsid w:val="00A928B4"/>
    <w:rsid w:val="00A934CD"/>
    <w:rsid w:val="00A941C1"/>
    <w:rsid w:val="00A9565D"/>
    <w:rsid w:val="00A96C50"/>
    <w:rsid w:val="00AA082F"/>
    <w:rsid w:val="00AA2667"/>
    <w:rsid w:val="00AA3A1C"/>
    <w:rsid w:val="00AA3AEA"/>
    <w:rsid w:val="00AA7965"/>
    <w:rsid w:val="00AA7D87"/>
    <w:rsid w:val="00AB0A2B"/>
    <w:rsid w:val="00AB10D7"/>
    <w:rsid w:val="00AB491B"/>
    <w:rsid w:val="00AB4D59"/>
    <w:rsid w:val="00AB65D6"/>
    <w:rsid w:val="00AB6EB6"/>
    <w:rsid w:val="00AB6FC6"/>
    <w:rsid w:val="00AC0A61"/>
    <w:rsid w:val="00AC2BA1"/>
    <w:rsid w:val="00AC2CA4"/>
    <w:rsid w:val="00AC412B"/>
    <w:rsid w:val="00AC4CA2"/>
    <w:rsid w:val="00AC6A82"/>
    <w:rsid w:val="00AD0CA9"/>
    <w:rsid w:val="00AD18E8"/>
    <w:rsid w:val="00AD236E"/>
    <w:rsid w:val="00AD4A6B"/>
    <w:rsid w:val="00AE0C66"/>
    <w:rsid w:val="00AE1196"/>
    <w:rsid w:val="00AE205C"/>
    <w:rsid w:val="00AE5DEF"/>
    <w:rsid w:val="00AE72C8"/>
    <w:rsid w:val="00AE7385"/>
    <w:rsid w:val="00AF3321"/>
    <w:rsid w:val="00AF36DC"/>
    <w:rsid w:val="00AF384F"/>
    <w:rsid w:val="00AF4A3D"/>
    <w:rsid w:val="00AF4C15"/>
    <w:rsid w:val="00AF5B5C"/>
    <w:rsid w:val="00AF6F0D"/>
    <w:rsid w:val="00AF738D"/>
    <w:rsid w:val="00AF7BE6"/>
    <w:rsid w:val="00B0035C"/>
    <w:rsid w:val="00B0330B"/>
    <w:rsid w:val="00B07DE5"/>
    <w:rsid w:val="00B105CF"/>
    <w:rsid w:val="00B10980"/>
    <w:rsid w:val="00B128FF"/>
    <w:rsid w:val="00B12C6A"/>
    <w:rsid w:val="00B1315F"/>
    <w:rsid w:val="00B13513"/>
    <w:rsid w:val="00B13823"/>
    <w:rsid w:val="00B16D9F"/>
    <w:rsid w:val="00B20591"/>
    <w:rsid w:val="00B240A3"/>
    <w:rsid w:val="00B24184"/>
    <w:rsid w:val="00B26F15"/>
    <w:rsid w:val="00B26F72"/>
    <w:rsid w:val="00B3184E"/>
    <w:rsid w:val="00B33C42"/>
    <w:rsid w:val="00B355F8"/>
    <w:rsid w:val="00B41B7F"/>
    <w:rsid w:val="00B43569"/>
    <w:rsid w:val="00B440DB"/>
    <w:rsid w:val="00B51B41"/>
    <w:rsid w:val="00B5286E"/>
    <w:rsid w:val="00B5305F"/>
    <w:rsid w:val="00B53D7C"/>
    <w:rsid w:val="00B53F8A"/>
    <w:rsid w:val="00B54C43"/>
    <w:rsid w:val="00B56693"/>
    <w:rsid w:val="00B56E7A"/>
    <w:rsid w:val="00B56F5B"/>
    <w:rsid w:val="00B6057B"/>
    <w:rsid w:val="00B61A08"/>
    <w:rsid w:val="00B63570"/>
    <w:rsid w:val="00B64B20"/>
    <w:rsid w:val="00B65617"/>
    <w:rsid w:val="00B65BED"/>
    <w:rsid w:val="00B665E0"/>
    <w:rsid w:val="00B66DB3"/>
    <w:rsid w:val="00B7142A"/>
    <w:rsid w:val="00B71AC0"/>
    <w:rsid w:val="00B71E4F"/>
    <w:rsid w:val="00B732BA"/>
    <w:rsid w:val="00B73B22"/>
    <w:rsid w:val="00B76236"/>
    <w:rsid w:val="00B8133D"/>
    <w:rsid w:val="00B829F0"/>
    <w:rsid w:val="00B82D4C"/>
    <w:rsid w:val="00B82D57"/>
    <w:rsid w:val="00B83061"/>
    <w:rsid w:val="00B83686"/>
    <w:rsid w:val="00B83AAB"/>
    <w:rsid w:val="00B86AA4"/>
    <w:rsid w:val="00B9137B"/>
    <w:rsid w:val="00B91B4B"/>
    <w:rsid w:val="00B93075"/>
    <w:rsid w:val="00B93D8B"/>
    <w:rsid w:val="00B946A9"/>
    <w:rsid w:val="00B9666C"/>
    <w:rsid w:val="00B96E18"/>
    <w:rsid w:val="00BA040A"/>
    <w:rsid w:val="00BA0972"/>
    <w:rsid w:val="00BA30A0"/>
    <w:rsid w:val="00BA5907"/>
    <w:rsid w:val="00BA5E52"/>
    <w:rsid w:val="00BA6A4E"/>
    <w:rsid w:val="00BA784C"/>
    <w:rsid w:val="00BB033D"/>
    <w:rsid w:val="00BB070E"/>
    <w:rsid w:val="00BB0BAC"/>
    <w:rsid w:val="00BB103F"/>
    <w:rsid w:val="00BB12A7"/>
    <w:rsid w:val="00BB1ED1"/>
    <w:rsid w:val="00BB5603"/>
    <w:rsid w:val="00BB587F"/>
    <w:rsid w:val="00BB7480"/>
    <w:rsid w:val="00BC01CB"/>
    <w:rsid w:val="00BC144F"/>
    <w:rsid w:val="00BC1CCC"/>
    <w:rsid w:val="00BC25CC"/>
    <w:rsid w:val="00BC35E0"/>
    <w:rsid w:val="00BC54E5"/>
    <w:rsid w:val="00BC552A"/>
    <w:rsid w:val="00BC6E5F"/>
    <w:rsid w:val="00BC730A"/>
    <w:rsid w:val="00BD0A92"/>
    <w:rsid w:val="00BD0E1C"/>
    <w:rsid w:val="00BE03F2"/>
    <w:rsid w:val="00BE0424"/>
    <w:rsid w:val="00BE3C64"/>
    <w:rsid w:val="00BE465B"/>
    <w:rsid w:val="00BE6CF7"/>
    <w:rsid w:val="00BF144E"/>
    <w:rsid w:val="00BF2AE9"/>
    <w:rsid w:val="00BF2F11"/>
    <w:rsid w:val="00BF76D6"/>
    <w:rsid w:val="00BF7F37"/>
    <w:rsid w:val="00C00E68"/>
    <w:rsid w:val="00C01B70"/>
    <w:rsid w:val="00C02534"/>
    <w:rsid w:val="00C03560"/>
    <w:rsid w:val="00C0534A"/>
    <w:rsid w:val="00C06D60"/>
    <w:rsid w:val="00C072B5"/>
    <w:rsid w:val="00C07730"/>
    <w:rsid w:val="00C12805"/>
    <w:rsid w:val="00C142F5"/>
    <w:rsid w:val="00C14533"/>
    <w:rsid w:val="00C14C55"/>
    <w:rsid w:val="00C17154"/>
    <w:rsid w:val="00C228EC"/>
    <w:rsid w:val="00C2435E"/>
    <w:rsid w:val="00C24560"/>
    <w:rsid w:val="00C26A69"/>
    <w:rsid w:val="00C32983"/>
    <w:rsid w:val="00C32E6D"/>
    <w:rsid w:val="00C3383D"/>
    <w:rsid w:val="00C34B6C"/>
    <w:rsid w:val="00C36675"/>
    <w:rsid w:val="00C36DE4"/>
    <w:rsid w:val="00C4279F"/>
    <w:rsid w:val="00C45AF9"/>
    <w:rsid w:val="00C45BE2"/>
    <w:rsid w:val="00C46C95"/>
    <w:rsid w:val="00C51BCF"/>
    <w:rsid w:val="00C52085"/>
    <w:rsid w:val="00C52C76"/>
    <w:rsid w:val="00C541BF"/>
    <w:rsid w:val="00C55123"/>
    <w:rsid w:val="00C56826"/>
    <w:rsid w:val="00C56A8C"/>
    <w:rsid w:val="00C57FC2"/>
    <w:rsid w:val="00C6069A"/>
    <w:rsid w:val="00C60C9E"/>
    <w:rsid w:val="00C63CF9"/>
    <w:rsid w:val="00C67E6D"/>
    <w:rsid w:val="00C715AD"/>
    <w:rsid w:val="00C71AC3"/>
    <w:rsid w:val="00C733F7"/>
    <w:rsid w:val="00C75934"/>
    <w:rsid w:val="00C803C6"/>
    <w:rsid w:val="00C812C9"/>
    <w:rsid w:val="00C81F7D"/>
    <w:rsid w:val="00C82C1C"/>
    <w:rsid w:val="00C8469D"/>
    <w:rsid w:val="00C84EC5"/>
    <w:rsid w:val="00C855DF"/>
    <w:rsid w:val="00C901B1"/>
    <w:rsid w:val="00C909E6"/>
    <w:rsid w:val="00C90CAD"/>
    <w:rsid w:val="00C9136E"/>
    <w:rsid w:val="00C965F2"/>
    <w:rsid w:val="00C9772E"/>
    <w:rsid w:val="00CA014A"/>
    <w:rsid w:val="00CA04AD"/>
    <w:rsid w:val="00CA25E8"/>
    <w:rsid w:val="00CA2664"/>
    <w:rsid w:val="00CA4AA5"/>
    <w:rsid w:val="00CA4BF4"/>
    <w:rsid w:val="00CA6FF4"/>
    <w:rsid w:val="00CA7EDD"/>
    <w:rsid w:val="00CB3A2A"/>
    <w:rsid w:val="00CB4571"/>
    <w:rsid w:val="00CB6199"/>
    <w:rsid w:val="00CB7513"/>
    <w:rsid w:val="00CC1DCB"/>
    <w:rsid w:val="00CC29DE"/>
    <w:rsid w:val="00CC2A48"/>
    <w:rsid w:val="00CC44A7"/>
    <w:rsid w:val="00CC6C14"/>
    <w:rsid w:val="00CC6C66"/>
    <w:rsid w:val="00CD2FEE"/>
    <w:rsid w:val="00CD72EE"/>
    <w:rsid w:val="00CD7BF4"/>
    <w:rsid w:val="00CE4740"/>
    <w:rsid w:val="00CF12C8"/>
    <w:rsid w:val="00CF25F2"/>
    <w:rsid w:val="00CF41B7"/>
    <w:rsid w:val="00CF45F6"/>
    <w:rsid w:val="00CF4CF1"/>
    <w:rsid w:val="00CF4F90"/>
    <w:rsid w:val="00CF6D5C"/>
    <w:rsid w:val="00D00088"/>
    <w:rsid w:val="00D0128F"/>
    <w:rsid w:val="00D01779"/>
    <w:rsid w:val="00D04784"/>
    <w:rsid w:val="00D062DF"/>
    <w:rsid w:val="00D07865"/>
    <w:rsid w:val="00D07AF0"/>
    <w:rsid w:val="00D10517"/>
    <w:rsid w:val="00D11134"/>
    <w:rsid w:val="00D1529F"/>
    <w:rsid w:val="00D15536"/>
    <w:rsid w:val="00D1780A"/>
    <w:rsid w:val="00D17A3F"/>
    <w:rsid w:val="00D20176"/>
    <w:rsid w:val="00D2037A"/>
    <w:rsid w:val="00D20637"/>
    <w:rsid w:val="00D21A9A"/>
    <w:rsid w:val="00D21BE7"/>
    <w:rsid w:val="00D247D7"/>
    <w:rsid w:val="00D24B9D"/>
    <w:rsid w:val="00D2503B"/>
    <w:rsid w:val="00D34FEC"/>
    <w:rsid w:val="00D406C7"/>
    <w:rsid w:val="00D43195"/>
    <w:rsid w:val="00D44325"/>
    <w:rsid w:val="00D44836"/>
    <w:rsid w:val="00D4510F"/>
    <w:rsid w:val="00D50A70"/>
    <w:rsid w:val="00D51E5B"/>
    <w:rsid w:val="00D521CE"/>
    <w:rsid w:val="00D5294F"/>
    <w:rsid w:val="00D53E47"/>
    <w:rsid w:val="00D54481"/>
    <w:rsid w:val="00D56BF2"/>
    <w:rsid w:val="00D6046A"/>
    <w:rsid w:val="00D617D9"/>
    <w:rsid w:val="00D62D00"/>
    <w:rsid w:val="00D646DC"/>
    <w:rsid w:val="00D64AC5"/>
    <w:rsid w:val="00D650E2"/>
    <w:rsid w:val="00D657AA"/>
    <w:rsid w:val="00D660CC"/>
    <w:rsid w:val="00D705F5"/>
    <w:rsid w:val="00D7098B"/>
    <w:rsid w:val="00D713A7"/>
    <w:rsid w:val="00D76B68"/>
    <w:rsid w:val="00D76C42"/>
    <w:rsid w:val="00D77384"/>
    <w:rsid w:val="00D801E0"/>
    <w:rsid w:val="00D80F63"/>
    <w:rsid w:val="00D81BD4"/>
    <w:rsid w:val="00D823B7"/>
    <w:rsid w:val="00D824FC"/>
    <w:rsid w:val="00D838C1"/>
    <w:rsid w:val="00D83FA8"/>
    <w:rsid w:val="00D84294"/>
    <w:rsid w:val="00D87E6E"/>
    <w:rsid w:val="00D9261C"/>
    <w:rsid w:val="00D94736"/>
    <w:rsid w:val="00D95B61"/>
    <w:rsid w:val="00D9608B"/>
    <w:rsid w:val="00D96314"/>
    <w:rsid w:val="00DA4183"/>
    <w:rsid w:val="00DA458C"/>
    <w:rsid w:val="00DA6910"/>
    <w:rsid w:val="00DA7371"/>
    <w:rsid w:val="00DA7789"/>
    <w:rsid w:val="00DB018B"/>
    <w:rsid w:val="00DB0F35"/>
    <w:rsid w:val="00DB1881"/>
    <w:rsid w:val="00DB28DF"/>
    <w:rsid w:val="00DB5ED4"/>
    <w:rsid w:val="00DB6736"/>
    <w:rsid w:val="00DB6D5F"/>
    <w:rsid w:val="00DC14CC"/>
    <w:rsid w:val="00DC1D96"/>
    <w:rsid w:val="00DC2EE3"/>
    <w:rsid w:val="00DC38CD"/>
    <w:rsid w:val="00DC4E38"/>
    <w:rsid w:val="00DC5621"/>
    <w:rsid w:val="00DD4587"/>
    <w:rsid w:val="00DD5D22"/>
    <w:rsid w:val="00DD6674"/>
    <w:rsid w:val="00DD672F"/>
    <w:rsid w:val="00DD73A9"/>
    <w:rsid w:val="00DD73B7"/>
    <w:rsid w:val="00DD7671"/>
    <w:rsid w:val="00DD78EF"/>
    <w:rsid w:val="00DD7C05"/>
    <w:rsid w:val="00DE1548"/>
    <w:rsid w:val="00DE1F2B"/>
    <w:rsid w:val="00DE2C41"/>
    <w:rsid w:val="00DE3261"/>
    <w:rsid w:val="00DE3A76"/>
    <w:rsid w:val="00DE4C59"/>
    <w:rsid w:val="00DE6829"/>
    <w:rsid w:val="00DE77A2"/>
    <w:rsid w:val="00DF0035"/>
    <w:rsid w:val="00DF19C9"/>
    <w:rsid w:val="00DF1D6A"/>
    <w:rsid w:val="00DF785B"/>
    <w:rsid w:val="00DF78DB"/>
    <w:rsid w:val="00DF79B5"/>
    <w:rsid w:val="00DF7A76"/>
    <w:rsid w:val="00DF7B95"/>
    <w:rsid w:val="00DF7CB2"/>
    <w:rsid w:val="00E00115"/>
    <w:rsid w:val="00E00B01"/>
    <w:rsid w:val="00E00F93"/>
    <w:rsid w:val="00E018A9"/>
    <w:rsid w:val="00E02D68"/>
    <w:rsid w:val="00E0399B"/>
    <w:rsid w:val="00E03CD9"/>
    <w:rsid w:val="00E07DAB"/>
    <w:rsid w:val="00E103DF"/>
    <w:rsid w:val="00E13B5D"/>
    <w:rsid w:val="00E1459D"/>
    <w:rsid w:val="00E15B7D"/>
    <w:rsid w:val="00E165E6"/>
    <w:rsid w:val="00E20344"/>
    <w:rsid w:val="00E31BB5"/>
    <w:rsid w:val="00E31FF4"/>
    <w:rsid w:val="00E335F5"/>
    <w:rsid w:val="00E415A8"/>
    <w:rsid w:val="00E42E7C"/>
    <w:rsid w:val="00E470D7"/>
    <w:rsid w:val="00E50240"/>
    <w:rsid w:val="00E50499"/>
    <w:rsid w:val="00E50E2E"/>
    <w:rsid w:val="00E50FD8"/>
    <w:rsid w:val="00E517BE"/>
    <w:rsid w:val="00E528CB"/>
    <w:rsid w:val="00E53A08"/>
    <w:rsid w:val="00E545AC"/>
    <w:rsid w:val="00E54B82"/>
    <w:rsid w:val="00E54F96"/>
    <w:rsid w:val="00E5550E"/>
    <w:rsid w:val="00E55609"/>
    <w:rsid w:val="00E60B0B"/>
    <w:rsid w:val="00E60E62"/>
    <w:rsid w:val="00E629D6"/>
    <w:rsid w:val="00E65135"/>
    <w:rsid w:val="00E66F36"/>
    <w:rsid w:val="00E6708D"/>
    <w:rsid w:val="00E715D9"/>
    <w:rsid w:val="00E731DE"/>
    <w:rsid w:val="00E7789D"/>
    <w:rsid w:val="00E80FF0"/>
    <w:rsid w:val="00E83891"/>
    <w:rsid w:val="00E85961"/>
    <w:rsid w:val="00E85F0F"/>
    <w:rsid w:val="00E873A4"/>
    <w:rsid w:val="00E87519"/>
    <w:rsid w:val="00E879A5"/>
    <w:rsid w:val="00E909D8"/>
    <w:rsid w:val="00E91D2C"/>
    <w:rsid w:val="00E925A9"/>
    <w:rsid w:val="00E92DCE"/>
    <w:rsid w:val="00E93B35"/>
    <w:rsid w:val="00E94B07"/>
    <w:rsid w:val="00E97422"/>
    <w:rsid w:val="00EA03CF"/>
    <w:rsid w:val="00EA0FC6"/>
    <w:rsid w:val="00EA1499"/>
    <w:rsid w:val="00EA2907"/>
    <w:rsid w:val="00EA4FFF"/>
    <w:rsid w:val="00EA7F96"/>
    <w:rsid w:val="00EB3A67"/>
    <w:rsid w:val="00EB3DB1"/>
    <w:rsid w:val="00EB5210"/>
    <w:rsid w:val="00EB5A7D"/>
    <w:rsid w:val="00EB6203"/>
    <w:rsid w:val="00EB678B"/>
    <w:rsid w:val="00EC133A"/>
    <w:rsid w:val="00EC1583"/>
    <w:rsid w:val="00EC1D45"/>
    <w:rsid w:val="00EC42CB"/>
    <w:rsid w:val="00EC465F"/>
    <w:rsid w:val="00EC6259"/>
    <w:rsid w:val="00EC7E4A"/>
    <w:rsid w:val="00EC7EED"/>
    <w:rsid w:val="00ED02CB"/>
    <w:rsid w:val="00ED2F34"/>
    <w:rsid w:val="00ED3046"/>
    <w:rsid w:val="00ED389A"/>
    <w:rsid w:val="00ED4ECF"/>
    <w:rsid w:val="00ED5383"/>
    <w:rsid w:val="00ED565E"/>
    <w:rsid w:val="00ED719A"/>
    <w:rsid w:val="00EE03EA"/>
    <w:rsid w:val="00EE34A1"/>
    <w:rsid w:val="00EE4591"/>
    <w:rsid w:val="00EE5AC3"/>
    <w:rsid w:val="00EE6E82"/>
    <w:rsid w:val="00EF05FC"/>
    <w:rsid w:val="00EF097F"/>
    <w:rsid w:val="00EF0AD3"/>
    <w:rsid w:val="00EF2039"/>
    <w:rsid w:val="00EF39A6"/>
    <w:rsid w:val="00EF3C07"/>
    <w:rsid w:val="00EF5E81"/>
    <w:rsid w:val="00F0573E"/>
    <w:rsid w:val="00F07F8A"/>
    <w:rsid w:val="00F11238"/>
    <w:rsid w:val="00F12453"/>
    <w:rsid w:val="00F12EA7"/>
    <w:rsid w:val="00F144CE"/>
    <w:rsid w:val="00F14CA8"/>
    <w:rsid w:val="00F14F97"/>
    <w:rsid w:val="00F16C98"/>
    <w:rsid w:val="00F20980"/>
    <w:rsid w:val="00F20AD8"/>
    <w:rsid w:val="00F24AE1"/>
    <w:rsid w:val="00F24FF7"/>
    <w:rsid w:val="00F264AE"/>
    <w:rsid w:val="00F26FA4"/>
    <w:rsid w:val="00F2780C"/>
    <w:rsid w:val="00F33847"/>
    <w:rsid w:val="00F33AD1"/>
    <w:rsid w:val="00F34327"/>
    <w:rsid w:val="00F36A15"/>
    <w:rsid w:val="00F36CBB"/>
    <w:rsid w:val="00F36CE4"/>
    <w:rsid w:val="00F37E57"/>
    <w:rsid w:val="00F40359"/>
    <w:rsid w:val="00F41AAC"/>
    <w:rsid w:val="00F427F4"/>
    <w:rsid w:val="00F43450"/>
    <w:rsid w:val="00F451B9"/>
    <w:rsid w:val="00F45626"/>
    <w:rsid w:val="00F45AC1"/>
    <w:rsid w:val="00F4641E"/>
    <w:rsid w:val="00F47A30"/>
    <w:rsid w:val="00F509F1"/>
    <w:rsid w:val="00F5364E"/>
    <w:rsid w:val="00F565E8"/>
    <w:rsid w:val="00F56F0A"/>
    <w:rsid w:val="00F60250"/>
    <w:rsid w:val="00F606BF"/>
    <w:rsid w:val="00F6434D"/>
    <w:rsid w:val="00F64F5B"/>
    <w:rsid w:val="00F65BA1"/>
    <w:rsid w:val="00F6649A"/>
    <w:rsid w:val="00F72434"/>
    <w:rsid w:val="00F7299F"/>
    <w:rsid w:val="00F73DF6"/>
    <w:rsid w:val="00F73F73"/>
    <w:rsid w:val="00F764DA"/>
    <w:rsid w:val="00F7667C"/>
    <w:rsid w:val="00F768C2"/>
    <w:rsid w:val="00F76A42"/>
    <w:rsid w:val="00F76C6E"/>
    <w:rsid w:val="00F834AC"/>
    <w:rsid w:val="00F83DF2"/>
    <w:rsid w:val="00F84E8F"/>
    <w:rsid w:val="00F93AE0"/>
    <w:rsid w:val="00F94150"/>
    <w:rsid w:val="00F97E6F"/>
    <w:rsid w:val="00FA01BD"/>
    <w:rsid w:val="00FA1CED"/>
    <w:rsid w:val="00FA4BD5"/>
    <w:rsid w:val="00FA5340"/>
    <w:rsid w:val="00FA62BF"/>
    <w:rsid w:val="00FA68C3"/>
    <w:rsid w:val="00FB0BEB"/>
    <w:rsid w:val="00FB13A8"/>
    <w:rsid w:val="00FB15E5"/>
    <w:rsid w:val="00FB31F1"/>
    <w:rsid w:val="00FB3C10"/>
    <w:rsid w:val="00FB41A5"/>
    <w:rsid w:val="00FB5BD0"/>
    <w:rsid w:val="00FB7407"/>
    <w:rsid w:val="00FB76B0"/>
    <w:rsid w:val="00FB788B"/>
    <w:rsid w:val="00FB7A74"/>
    <w:rsid w:val="00FC2D6E"/>
    <w:rsid w:val="00FC37B4"/>
    <w:rsid w:val="00FC4CA5"/>
    <w:rsid w:val="00FC4E59"/>
    <w:rsid w:val="00FC4FD5"/>
    <w:rsid w:val="00FD0073"/>
    <w:rsid w:val="00FD3E91"/>
    <w:rsid w:val="00FD3ED2"/>
    <w:rsid w:val="00FD467D"/>
    <w:rsid w:val="00FD5EC0"/>
    <w:rsid w:val="00FD6596"/>
    <w:rsid w:val="00FD769D"/>
    <w:rsid w:val="00FE0815"/>
    <w:rsid w:val="00FE37AB"/>
    <w:rsid w:val="00FE45F1"/>
    <w:rsid w:val="00FE4689"/>
    <w:rsid w:val="00FF00B6"/>
    <w:rsid w:val="00FF0303"/>
    <w:rsid w:val="00FF3FE7"/>
    <w:rsid w:val="00FF46F5"/>
    <w:rsid w:val="00FF4964"/>
    <w:rsid w:val="00FF5E3F"/>
    <w:rsid w:val="00FF6019"/>
    <w:rsid w:val="00FF65B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E975E9"/>
  <w15:chartTrackingRefBased/>
  <w15:docId w15:val="{5DCCD327-48A4-449E-A8FF-93ABF334D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0003"/>
    <w:pPr>
      <w:spacing w:after="60" w:line="360" w:lineRule="auto"/>
    </w:pPr>
    <w:rPr>
      <w:rFonts w:ascii="Times New Roman" w:eastAsia="Calibri" w:hAnsi="Times New Roman" w:cs="Times New Roman"/>
      <w:sz w:val="24"/>
    </w:rPr>
  </w:style>
  <w:style w:type="paragraph" w:styleId="Heading1">
    <w:name w:val="heading 1"/>
    <w:basedOn w:val="Normal"/>
    <w:next w:val="Normal"/>
    <w:link w:val="Heading1Char"/>
    <w:uiPriority w:val="9"/>
    <w:qFormat/>
    <w:rsid w:val="008D0003"/>
    <w:pPr>
      <w:keepNext/>
      <w:keepLines/>
      <w:pageBreakBefore/>
      <w:numPr>
        <w:numId w:val="1"/>
      </w:numPr>
      <w:outlineLvl w:val="0"/>
    </w:pPr>
    <w:rPr>
      <w:rFonts w:eastAsia="Times New Roman"/>
      <w:b/>
      <w:bCs/>
      <w:sz w:val="32"/>
      <w:szCs w:val="28"/>
      <w:lang w:val="x-none"/>
    </w:rPr>
  </w:style>
  <w:style w:type="paragraph" w:styleId="Heading2">
    <w:name w:val="heading 2"/>
    <w:basedOn w:val="Normal"/>
    <w:next w:val="Normal"/>
    <w:link w:val="Heading2Char"/>
    <w:uiPriority w:val="9"/>
    <w:qFormat/>
    <w:rsid w:val="008D0003"/>
    <w:pPr>
      <w:keepNext/>
      <w:keepLines/>
      <w:ind w:left="576" w:hanging="576"/>
      <w:outlineLvl w:val="1"/>
    </w:pPr>
    <w:rPr>
      <w:rFonts w:eastAsia="Times New Roman"/>
      <w:b/>
      <w:bCs/>
      <w:i/>
      <w:sz w:val="28"/>
      <w:szCs w:val="24"/>
    </w:rPr>
  </w:style>
  <w:style w:type="paragraph" w:styleId="Heading3">
    <w:name w:val="heading 3"/>
    <w:basedOn w:val="Normal"/>
    <w:next w:val="Normal"/>
    <w:link w:val="Heading3Char"/>
    <w:uiPriority w:val="9"/>
    <w:qFormat/>
    <w:rsid w:val="006E77A0"/>
    <w:pPr>
      <w:keepNext/>
      <w:keepLines/>
      <w:spacing w:before="120"/>
      <w:ind w:left="720" w:hanging="720"/>
      <w:outlineLvl w:val="2"/>
    </w:pPr>
    <w:rPr>
      <w:rFonts w:eastAsia="Times New Roman"/>
      <w:b/>
      <w:bCs/>
      <w:color w:val="000000"/>
      <w:lang w:val="x-none"/>
    </w:rPr>
  </w:style>
  <w:style w:type="paragraph" w:styleId="Heading4">
    <w:name w:val="heading 4"/>
    <w:basedOn w:val="Normal"/>
    <w:next w:val="Normal"/>
    <w:link w:val="Heading4Char"/>
    <w:uiPriority w:val="9"/>
    <w:unhideWhenUsed/>
    <w:qFormat/>
    <w:rsid w:val="00441D00"/>
    <w:pPr>
      <w:outlineLvl w:val="3"/>
    </w:pPr>
    <w:rPr>
      <w:i/>
    </w:rPr>
  </w:style>
  <w:style w:type="paragraph" w:styleId="Heading6">
    <w:name w:val="heading 6"/>
    <w:basedOn w:val="Normal"/>
    <w:next w:val="Normal"/>
    <w:link w:val="Heading6Char"/>
    <w:uiPriority w:val="9"/>
    <w:qFormat/>
    <w:rsid w:val="008D0003"/>
    <w:pPr>
      <w:keepNext/>
      <w:keepLines/>
      <w:numPr>
        <w:ilvl w:val="5"/>
        <w:numId w:val="1"/>
      </w:numPr>
      <w:spacing w:before="200" w:after="0"/>
      <w:outlineLvl w:val="5"/>
    </w:pPr>
    <w:rPr>
      <w:rFonts w:ascii="Cambria" w:eastAsia="Times New Roman" w:hAnsi="Cambria"/>
      <w:i/>
      <w:iCs/>
      <w:color w:val="243F60"/>
      <w:lang w:val="x-none"/>
    </w:rPr>
  </w:style>
  <w:style w:type="paragraph" w:styleId="Heading7">
    <w:name w:val="heading 7"/>
    <w:basedOn w:val="Normal"/>
    <w:next w:val="Normal"/>
    <w:link w:val="Heading7Char"/>
    <w:uiPriority w:val="9"/>
    <w:qFormat/>
    <w:rsid w:val="008D0003"/>
    <w:pPr>
      <w:keepNext/>
      <w:keepLines/>
      <w:numPr>
        <w:ilvl w:val="6"/>
        <w:numId w:val="1"/>
      </w:numPr>
      <w:spacing w:before="200" w:after="0"/>
      <w:outlineLvl w:val="6"/>
    </w:pPr>
    <w:rPr>
      <w:rFonts w:ascii="Cambria" w:eastAsia="Times New Roman" w:hAnsi="Cambria"/>
      <w:i/>
      <w:iCs/>
      <w:color w:val="404040"/>
      <w:lang w:val="x-none"/>
    </w:rPr>
  </w:style>
  <w:style w:type="paragraph" w:styleId="Heading8">
    <w:name w:val="heading 8"/>
    <w:basedOn w:val="Normal"/>
    <w:next w:val="Normal"/>
    <w:link w:val="Heading8Char"/>
    <w:uiPriority w:val="9"/>
    <w:qFormat/>
    <w:rsid w:val="008D0003"/>
    <w:pPr>
      <w:keepNext/>
      <w:keepLines/>
      <w:numPr>
        <w:ilvl w:val="7"/>
        <w:numId w:val="1"/>
      </w:numPr>
      <w:spacing w:before="200" w:after="0"/>
      <w:outlineLvl w:val="7"/>
    </w:pPr>
    <w:rPr>
      <w:rFonts w:ascii="Cambria" w:eastAsia="Times New Roman" w:hAnsi="Cambria"/>
      <w:color w:val="404040"/>
      <w:szCs w:val="20"/>
      <w:lang w:val="x-none"/>
    </w:rPr>
  </w:style>
  <w:style w:type="paragraph" w:styleId="Heading9">
    <w:name w:val="heading 9"/>
    <w:basedOn w:val="Normal"/>
    <w:next w:val="Normal"/>
    <w:link w:val="Heading9Char"/>
    <w:uiPriority w:val="9"/>
    <w:qFormat/>
    <w:rsid w:val="008D0003"/>
    <w:pPr>
      <w:keepNext/>
      <w:keepLines/>
      <w:numPr>
        <w:ilvl w:val="8"/>
        <w:numId w:val="1"/>
      </w:numPr>
      <w:spacing w:before="200" w:after="0"/>
      <w:outlineLvl w:val="8"/>
    </w:pPr>
    <w:rPr>
      <w:rFonts w:ascii="Cambria" w:eastAsia="Times New Roman" w:hAnsi="Cambria"/>
      <w:i/>
      <w:iCs/>
      <w:color w:val="404040"/>
      <w:szCs w:val="2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003"/>
    <w:rPr>
      <w:rFonts w:ascii="Times New Roman" w:eastAsia="Times New Roman" w:hAnsi="Times New Roman" w:cs="Times New Roman"/>
      <w:b/>
      <w:bCs/>
      <w:sz w:val="32"/>
      <w:szCs w:val="28"/>
      <w:lang w:val="x-none"/>
    </w:rPr>
  </w:style>
  <w:style w:type="character" w:customStyle="1" w:styleId="Heading2Char">
    <w:name w:val="Heading 2 Char"/>
    <w:basedOn w:val="DefaultParagraphFont"/>
    <w:link w:val="Heading2"/>
    <w:uiPriority w:val="9"/>
    <w:rsid w:val="008D0003"/>
    <w:rPr>
      <w:rFonts w:ascii="Times New Roman" w:eastAsia="Times New Roman" w:hAnsi="Times New Roman" w:cs="Times New Roman"/>
      <w:b/>
      <w:bCs/>
      <w:i/>
      <w:sz w:val="28"/>
      <w:szCs w:val="24"/>
    </w:rPr>
  </w:style>
  <w:style w:type="character" w:customStyle="1" w:styleId="Heading3Char">
    <w:name w:val="Heading 3 Char"/>
    <w:basedOn w:val="DefaultParagraphFont"/>
    <w:link w:val="Heading3"/>
    <w:uiPriority w:val="9"/>
    <w:rsid w:val="006E77A0"/>
    <w:rPr>
      <w:rFonts w:ascii="Times New Roman" w:eastAsia="Times New Roman" w:hAnsi="Times New Roman" w:cs="Times New Roman"/>
      <w:b/>
      <w:bCs/>
      <w:color w:val="000000"/>
      <w:sz w:val="24"/>
      <w:lang w:val="x-none"/>
    </w:rPr>
  </w:style>
  <w:style w:type="character" w:customStyle="1" w:styleId="Heading4Char">
    <w:name w:val="Heading 4 Char"/>
    <w:basedOn w:val="DefaultParagraphFont"/>
    <w:link w:val="Heading4"/>
    <w:uiPriority w:val="9"/>
    <w:rsid w:val="00441D00"/>
    <w:rPr>
      <w:rFonts w:ascii="Times New Roman" w:eastAsia="Calibri" w:hAnsi="Times New Roman" w:cs="Times New Roman"/>
      <w:i/>
      <w:sz w:val="24"/>
    </w:rPr>
  </w:style>
  <w:style w:type="character" w:customStyle="1" w:styleId="Heading6Char">
    <w:name w:val="Heading 6 Char"/>
    <w:basedOn w:val="DefaultParagraphFont"/>
    <w:link w:val="Heading6"/>
    <w:uiPriority w:val="9"/>
    <w:rsid w:val="008D0003"/>
    <w:rPr>
      <w:rFonts w:ascii="Cambria" w:eastAsia="Times New Roman" w:hAnsi="Cambria" w:cs="Times New Roman"/>
      <w:i/>
      <w:iCs/>
      <w:color w:val="243F60"/>
      <w:sz w:val="24"/>
      <w:lang w:val="x-none"/>
    </w:rPr>
  </w:style>
  <w:style w:type="character" w:customStyle="1" w:styleId="Heading7Char">
    <w:name w:val="Heading 7 Char"/>
    <w:basedOn w:val="DefaultParagraphFont"/>
    <w:link w:val="Heading7"/>
    <w:uiPriority w:val="9"/>
    <w:rsid w:val="008D0003"/>
    <w:rPr>
      <w:rFonts w:ascii="Cambria" w:eastAsia="Times New Roman" w:hAnsi="Cambria" w:cs="Times New Roman"/>
      <w:i/>
      <w:iCs/>
      <w:color w:val="404040"/>
      <w:sz w:val="24"/>
      <w:lang w:val="x-none"/>
    </w:rPr>
  </w:style>
  <w:style w:type="character" w:customStyle="1" w:styleId="Heading8Char">
    <w:name w:val="Heading 8 Char"/>
    <w:basedOn w:val="DefaultParagraphFont"/>
    <w:link w:val="Heading8"/>
    <w:uiPriority w:val="9"/>
    <w:rsid w:val="008D0003"/>
    <w:rPr>
      <w:rFonts w:ascii="Cambria" w:eastAsia="Times New Roman" w:hAnsi="Cambria" w:cs="Times New Roman"/>
      <w:color w:val="404040"/>
      <w:sz w:val="24"/>
      <w:szCs w:val="20"/>
      <w:lang w:val="x-none"/>
    </w:rPr>
  </w:style>
  <w:style w:type="character" w:customStyle="1" w:styleId="Heading9Char">
    <w:name w:val="Heading 9 Char"/>
    <w:basedOn w:val="DefaultParagraphFont"/>
    <w:link w:val="Heading9"/>
    <w:uiPriority w:val="9"/>
    <w:rsid w:val="008D0003"/>
    <w:rPr>
      <w:rFonts w:ascii="Cambria" w:eastAsia="Times New Roman" w:hAnsi="Cambria" w:cs="Times New Roman"/>
      <w:i/>
      <w:iCs/>
      <w:color w:val="404040"/>
      <w:sz w:val="24"/>
      <w:szCs w:val="20"/>
      <w:lang w:val="x-none"/>
    </w:rPr>
  </w:style>
  <w:style w:type="paragraph" w:customStyle="1" w:styleId="Figure">
    <w:name w:val="Figure"/>
    <w:basedOn w:val="Normal"/>
    <w:link w:val="FigureChar"/>
    <w:qFormat/>
    <w:rsid w:val="008D0003"/>
    <w:pPr>
      <w:numPr>
        <w:numId w:val="2"/>
      </w:numPr>
      <w:ind w:left="0" w:firstLine="0"/>
    </w:pPr>
    <w:rPr>
      <w:b/>
      <w:szCs w:val="20"/>
      <w:lang w:val="x-none" w:eastAsia="x-none"/>
    </w:rPr>
  </w:style>
  <w:style w:type="character" w:customStyle="1" w:styleId="FigureChar">
    <w:name w:val="Figure Char"/>
    <w:link w:val="Figure"/>
    <w:rsid w:val="008D0003"/>
    <w:rPr>
      <w:rFonts w:ascii="Times New Roman" w:eastAsia="Calibri" w:hAnsi="Times New Roman" w:cs="Times New Roman"/>
      <w:b/>
      <w:sz w:val="24"/>
      <w:szCs w:val="20"/>
      <w:lang w:val="x-none" w:eastAsia="x-none"/>
    </w:rPr>
  </w:style>
  <w:style w:type="paragraph" w:customStyle="1" w:styleId="Table">
    <w:name w:val="Table"/>
    <w:basedOn w:val="Normal"/>
    <w:link w:val="TableChar"/>
    <w:qFormat/>
    <w:rsid w:val="00DD73A9"/>
    <w:pPr>
      <w:numPr>
        <w:numId w:val="3"/>
      </w:numPr>
      <w:ind w:left="0" w:firstLine="0"/>
    </w:pPr>
    <w:rPr>
      <w:b/>
      <w:szCs w:val="20"/>
      <w:lang w:val="x-none" w:eastAsia="x-none"/>
    </w:rPr>
  </w:style>
  <w:style w:type="character" w:customStyle="1" w:styleId="TableChar">
    <w:name w:val="Table Char"/>
    <w:link w:val="Table"/>
    <w:rsid w:val="00DD73A9"/>
    <w:rPr>
      <w:rFonts w:ascii="Times New Roman" w:eastAsia="Calibri" w:hAnsi="Times New Roman" w:cs="Times New Roman"/>
      <w:b/>
      <w:sz w:val="24"/>
      <w:szCs w:val="20"/>
      <w:lang w:val="x-none" w:eastAsia="x-none"/>
    </w:rPr>
  </w:style>
  <w:style w:type="paragraph" w:styleId="Header">
    <w:name w:val="header"/>
    <w:basedOn w:val="Normal"/>
    <w:link w:val="HeaderChar"/>
    <w:uiPriority w:val="99"/>
    <w:unhideWhenUsed/>
    <w:rsid w:val="005667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66715"/>
    <w:rPr>
      <w:rFonts w:ascii="Times New Roman" w:eastAsia="Calibri" w:hAnsi="Times New Roman" w:cs="Times New Roman"/>
      <w:sz w:val="24"/>
    </w:rPr>
  </w:style>
  <w:style w:type="paragraph" w:styleId="Footer">
    <w:name w:val="footer"/>
    <w:basedOn w:val="Normal"/>
    <w:link w:val="FooterChar"/>
    <w:uiPriority w:val="99"/>
    <w:unhideWhenUsed/>
    <w:rsid w:val="005667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66715"/>
    <w:rPr>
      <w:rFonts w:ascii="Times New Roman" w:eastAsia="Calibri" w:hAnsi="Times New Roman" w:cs="Times New Roman"/>
      <w:sz w:val="24"/>
    </w:rPr>
  </w:style>
  <w:style w:type="paragraph" w:styleId="ListParagraph">
    <w:name w:val="List Paragraph"/>
    <w:basedOn w:val="Normal"/>
    <w:link w:val="ListParagraphChar"/>
    <w:uiPriority w:val="34"/>
    <w:qFormat/>
    <w:rsid w:val="006E77A0"/>
    <w:pPr>
      <w:ind w:left="720"/>
      <w:contextualSpacing/>
    </w:pPr>
  </w:style>
  <w:style w:type="character" w:customStyle="1" w:styleId="ListParagraphChar">
    <w:name w:val="List Paragraph Char"/>
    <w:link w:val="ListParagraph"/>
    <w:uiPriority w:val="34"/>
    <w:locked/>
    <w:rsid w:val="00380A6B"/>
    <w:rPr>
      <w:rFonts w:ascii="Times New Roman" w:eastAsia="Calibri" w:hAnsi="Times New Roman" w:cs="Times New Roman"/>
      <w:sz w:val="24"/>
    </w:rPr>
  </w:style>
  <w:style w:type="table" w:styleId="TableGrid">
    <w:name w:val="Table Grid"/>
    <w:basedOn w:val="TableNormal"/>
    <w:uiPriority w:val="39"/>
    <w:rsid w:val="00441D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95004"/>
    <w:rPr>
      <w:color w:val="0563C1" w:themeColor="hyperlink"/>
      <w:u w:val="single"/>
    </w:rPr>
  </w:style>
  <w:style w:type="character" w:styleId="CommentReference">
    <w:name w:val="annotation reference"/>
    <w:basedOn w:val="DefaultParagraphFont"/>
    <w:uiPriority w:val="99"/>
    <w:unhideWhenUsed/>
    <w:rsid w:val="002C6A7A"/>
    <w:rPr>
      <w:sz w:val="16"/>
      <w:szCs w:val="16"/>
    </w:rPr>
  </w:style>
  <w:style w:type="paragraph" w:styleId="CommentText">
    <w:name w:val="annotation text"/>
    <w:basedOn w:val="Normal"/>
    <w:link w:val="CommentTextChar"/>
    <w:uiPriority w:val="99"/>
    <w:unhideWhenUsed/>
    <w:rsid w:val="002C6A7A"/>
    <w:pPr>
      <w:spacing w:line="240" w:lineRule="auto"/>
    </w:pPr>
    <w:rPr>
      <w:sz w:val="20"/>
      <w:szCs w:val="20"/>
    </w:rPr>
  </w:style>
  <w:style w:type="character" w:customStyle="1" w:styleId="CommentTextChar">
    <w:name w:val="Comment Text Char"/>
    <w:basedOn w:val="DefaultParagraphFont"/>
    <w:link w:val="CommentText"/>
    <w:uiPriority w:val="99"/>
    <w:rsid w:val="002C6A7A"/>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C6A7A"/>
    <w:rPr>
      <w:b/>
      <w:bCs/>
    </w:rPr>
  </w:style>
  <w:style w:type="character" w:customStyle="1" w:styleId="CommentSubjectChar">
    <w:name w:val="Comment Subject Char"/>
    <w:basedOn w:val="CommentTextChar"/>
    <w:link w:val="CommentSubject"/>
    <w:uiPriority w:val="99"/>
    <w:semiHidden/>
    <w:rsid w:val="002C6A7A"/>
    <w:rPr>
      <w:rFonts w:ascii="Times New Roman" w:eastAsia="Calibri" w:hAnsi="Times New Roman" w:cs="Times New Roman"/>
      <w:b/>
      <w:bCs/>
      <w:sz w:val="20"/>
      <w:szCs w:val="20"/>
    </w:rPr>
  </w:style>
  <w:style w:type="paragraph" w:customStyle="1" w:styleId="EndNoteBibliographyTitle">
    <w:name w:val="EndNote Bibliography Title"/>
    <w:basedOn w:val="Normal"/>
    <w:link w:val="EndNoteBibliographyTitleChar"/>
    <w:rsid w:val="002C6A7A"/>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2C6A7A"/>
    <w:rPr>
      <w:rFonts w:ascii="Times New Roman" w:eastAsia="Calibri" w:hAnsi="Times New Roman" w:cs="Times New Roman"/>
      <w:noProof/>
      <w:sz w:val="24"/>
      <w:lang w:val="en-US"/>
    </w:rPr>
  </w:style>
  <w:style w:type="paragraph" w:customStyle="1" w:styleId="EndNoteBibliography">
    <w:name w:val="EndNote Bibliography"/>
    <w:basedOn w:val="Normal"/>
    <w:link w:val="EndNoteBibliographyChar"/>
    <w:rsid w:val="002C6A7A"/>
    <w:pPr>
      <w:spacing w:line="240" w:lineRule="auto"/>
    </w:pPr>
    <w:rPr>
      <w:noProof/>
      <w:lang w:val="en-US"/>
    </w:rPr>
  </w:style>
  <w:style w:type="character" w:customStyle="1" w:styleId="EndNoteBibliographyChar">
    <w:name w:val="EndNote Bibliography Char"/>
    <w:basedOn w:val="DefaultParagraphFont"/>
    <w:link w:val="EndNoteBibliography"/>
    <w:rsid w:val="002C6A7A"/>
    <w:rPr>
      <w:rFonts w:ascii="Times New Roman" w:eastAsia="Calibri" w:hAnsi="Times New Roman" w:cs="Times New Roman"/>
      <w:noProof/>
      <w:sz w:val="24"/>
      <w:lang w:val="en-US"/>
    </w:rPr>
  </w:style>
  <w:style w:type="character" w:styleId="UnresolvedMention">
    <w:name w:val="Unresolved Mention"/>
    <w:basedOn w:val="DefaultParagraphFont"/>
    <w:uiPriority w:val="99"/>
    <w:semiHidden/>
    <w:unhideWhenUsed/>
    <w:rsid w:val="00BD0A92"/>
    <w:rPr>
      <w:color w:val="605E5C"/>
      <w:shd w:val="clear" w:color="auto" w:fill="E1DFDD"/>
    </w:rPr>
  </w:style>
  <w:style w:type="paragraph" w:customStyle="1" w:styleId="Tab">
    <w:name w:val="Tab"/>
    <w:basedOn w:val="Normal"/>
    <w:link w:val="TabChar"/>
    <w:qFormat/>
    <w:rsid w:val="00FD769D"/>
    <w:pPr>
      <w:spacing w:before="60" w:after="80" w:line="240" w:lineRule="auto"/>
    </w:pPr>
    <w:rPr>
      <w:rFonts w:ascii="Calibri" w:hAnsi="Calibri" w:cs="Arial"/>
      <w:b/>
      <w:sz w:val="20"/>
      <w:szCs w:val="20"/>
    </w:rPr>
  </w:style>
  <w:style w:type="character" w:customStyle="1" w:styleId="TabChar">
    <w:name w:val="Tab Char"/>
    <w:link w:val="Tab"/>
    <w:rsid w:val="00FD769D"/>
    <w:rPr>
      <w:rFonts w:ascii="Calibri" w:eastAsia="Calibri" w:hAnsi="Calibri" w:cs="Arial"/>
      <w:b/>
      <w:sz w:val="20"/>
      <w:szCs w:val="20"/>
    </w:rPr>
  </w:style>
  <w:style w:type="character" w:styleId="PageNumber">
    <w:name w:val="page number"/>
    <w:rsid w:val="00CC6C14"/>
  </w:style>
  <w:style w:type="paragraph" w:customStyle="1" w:styleId="BodyA">
    <w:name w:val="Body A"/>
    <w:rsid w:val="00CC6C14"/>
    <w:pPr>
      <w:pBdr>
        <w:top w:val="nil"/>
        <w:left w:val="nil"/>
        <w:bottom w:val="nil"/>
        <w:right w:val="nil"/>
        <w:between w:val="nil"/>
        <w:bar w:val="nil"/>
      </w:pBdr>
      <w:spacing w:after="0" w:line="240" w:lineRule="auto"/>
    </w:pPr>
    <w:rPr>
      <w:rFonts w:ascii="Calibri" w:eastAsia="Calibri" w:hAnsi="Calibri" w:cs="Calibri"/>
      <w:color w:val="000000"/>
      <w:sz w:val="24"/>
      <w:szCs w:val="24"/>
      <w:u w:color="000000"/>
      <w:bdr w:val="nil"/>
      <w:lang w:val="en-US" w:eastAsia="en-GB" w:bidi="ug-CN"/>
    </w:rPr>
  </w:style>
  <w:style w:type="paragraph" w:customStyle="1" w:styleId="Body">
    <w:name w:val="Body"/>
    <w:rsid w:val="00CC6C14"/>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val="en-US" w:eastAsia="en-GB" w:bidi="ug-CN"/>
    </w:rPr>
  </w:style>
  <w:style w:type="paragraph" w:styleId="BodyText">
    <w:name w:val="Body Text"/>
    <w:link w:val="BodyTextChar"/>
    <w:rsid w:val="00CC6C14"/>
    <w:pPr>
      <w:pBdr>
        <w:top w:val="nil"/>
        <w:left w:val="nil"/>
        <w:bottom w:val="nil"/>
        <w:right w:val="nil"/>
        <w:between w:val="nil"/>
        <w:bar w:val="nil"/>
      </w:pBdr>
      <w:spacing w:after="0" w:line="240" w:lineRule="auto"/>
    </w:pPr>
    <w:rPr>
      <w:rFonts w:ascii="Times New Roman" w:eastAsia="Arial Unicode MS" w:hAnsi="Times New Roman" w:cs="Arial Unicode MS"/>
      <w:b/>
      <w:bCs/>
      <w:color w:val="000000"/>
      <w:sz w:val="24"/>
      <w:szCs w:val="24"/>
      <w:u w:color="000000"/>
      <w:bdr w:val="nil"/>
      <w:lang w:val="en-US" w:eastAsia="en-GB" w:bidi="ug-CN"/>
    </w:rPr>
  </w:style>
  <w:style w:type="character" w:customStyle="1" w:styleId="BodyTextChar">
    <w:name w:val="Body Text Char"/>
    <w:basedOn w:val="DefaultParagraphFont"/>
    <w:link w:val="BodyText"/>
    <w:rsid w:val="00CC6C14"/>
    <w:rPr>
      <w:rFonts w:ascii="Times New Roman" w:eastAsia="Arial Unicode MS" w:hAnsi="Times New Roman" w:cs="Arial Unicode MS"/>
      <w:b/>
      <w:bCs/>
      <w:color w:val="000000"/>
      <w:sz w:val="24"/>
      <w:szCs w:val="24"/>
      <w:u w:color="000000"/>
      <w:bdr w:val="nil"/>
      <w:lang w:val="en-US" w:eastAsia="en-GB" w:bidi="ug-CN"/>
    </w:rPr>
  </w:style>
  <w:style w:type="paragraph" w:styleId="Caption">
    <w:name w:val="caption"/>
    <w:basedOn w:val="Normal"/>
    <w:next w:val="Normal"/>
    <w:link w:val="CaptionChar"/>
    <w:uiPriority w:val="35"/>
    <w:unhideWhenUsed/>
    <w:qFormat/>
    <w:rsid w:val="006E0757"/>
    <w:pPr>
      <w:spacing w:after="200" w:line="240" w:lineRule="auto"/>
    </w:pPr>
    <w:rPr>
      <w:i/>
      <w:iCs/>
      <w:color w:val="44546A" w:themeColor="text2"/>
      <w:sz w:val="18"/>
      <w:szCs w:val="18"/>
    </w:rPr>
  </w:style>
  <w:style w:type="character" w:customStyle="1" w:styleId="CaptionChar">
    <w:name w:val="Caption Char"/>
    <w:basedOn w:val="DefaultParagraphFont"/>
    <w:link w:val="Caption"/>
    <w:uiPriority w:val="35"/>
    <w:rsid w:val="00CE4740"/>
    <w:rPr>
      <w:rFonts w:ascii="Times New Roman" w:eastAsia="Calibri" w:hAnsi="Times New Roman" w:cs="Times New Roman"/>
      <w:i/>
      <w:iCs/>
      <w:color w:val="44546A" w:themeColor="text2"/>
      <w:sz w:val="18"/>
      <w:szCs w:val="18"/>
    </w:rPr>
  </w:style>
  <w:style w:type="paragraph" w:customStyle="1" w:styleId="ColorfulGrid-Accent11">
    <w:name w:val="Colorful Grid - Accent 11"/>
    <w:basedOn w:val="Normal"/>
    <w:next w:val="Normal"/>
    <w:link w:val="ColorfulGrid-Accent1Char"/>
    <w:uiPriority w:val="29"/>
    <w:qFormat/>
    <w:rsid w:val="006E0757"/>
    <w:pPr>
      <w:spacing w:before="200" w:after="160"/>
      <w:ind w:left="864" w:right="864"/>
      <w:jc w:val="both"/>
    </w:pPr>
    <w:rPr>
      <w:rFonts w:ascii="Arial" w:hAnsi="Arial"/>
      <w:i/>
      <w:iCs/>
      <w:color w:val="404040"/>
      <w:sz w:val="22"/>
      <w:szCs w:val="24"/>
      <w:lang w:val="x-none"/>
    </w:rPr>
  </w:style>
  <w:style w:type="character" w:customStyle="1" w:styleId="ColorfulGrid-Accent1Char">
    <w:name w:val="Colorful Grid - Accent 1 Char"/>
    <w:link w:val="ColorfulGrid-Accent11"/>
    <w:uiPriority w:val="29"/>
    <w:rsid w:val="006E0757"/>
    <w:rPr>
      <w:rFonts w:ascii="Arial" w:eastAsia="Calibri" w:hAnsi="Arial" w:cs="Times New Roman"/>
      <w:i/>
      <w:iCs/>
      <w:color w:val="404040"/>
      <w:szCs w:val="24"/>
      <w:lang w:val="x-none"/>
    </w:rPr>
  </w:style>
  <w:style w:type="table" w:customStyle="1" w:styleId="TableGrid1">
    <w:name w:val="Table Grid1"/>
    <w:basedOn w:val="TableNormal"/>
    <w:next w:val="TableGrid"/>
    <w:uiPriority w:val="59"/>
    <w:rsid w:val="007364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E4740"/>
    <w:pPr>
      <w:spacing w:after="0" w:line="240" w:lineRule="auto"/>
    </w:pPr>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CE4740"/>
    <w:rPr>
      <w:rFonts w:ascii="Segoe UI" w:hAnsi="Segoe UI" w:cs="Segoe UI"/>
      <w:sz w:val="18"/>
      <w:szCs w:val="18"/>
    </w:rPr>
  </w:style>
  <w:style w:type="paragraph" w:customStyle="1" w:styleId="Default">
    <w:name w:val="Default"/>
    <w:rsid w:val="00CE4740"/>
    <w:pPr>
      <w:autoSpaceDE w:val="0"/>
      <w:autoSpaceDN w:val="0"/>
      <w:adjustRightInd w:val="0"/>
      <w:spacing w:after="0" w:line="240" w:lineRule="auto"/>
    </w:pPr>
    <w:rPr>
      <w:rFonts w:ascii="Tahoma" w:hAnsi="Tahoma" w:cs="Tahoma"/>
      <w:color w:val="000000"/>
      <w:sz w:val="24"/>
      <w:szCs w:val="24"/>
    </w:rPr>
  </w:style>
  <w:style w:type="paragraph" w:styleId="TOC1">
    <w:name w:val="toc 1"/>
    <w:basedOn w:val="Normal"/>
    <w:next w:val="Normal"/>
    <w:autoRedefine/>
    <w:uiPriority w:val="39"/>
    <w:unhideWhenUsed/>
    <w:rsid w:val="000F739F"/>
    <w:pPr>
      <w:spacing w:after="100" w:line="259" w:lineRule="auto"/>
    </w:pPr>
    <w:rPr>
      <w:rFonts w:eastAsiaTheme="minorHAnsi" w:cstheme="minorBidi"/>
      <w:b/>
      <w:sz w:val="22"/>
    </w:rPr>
  </w:style>
  <w:style w:type="paragraph" w:styleId="TOC2">
    <w:name w:val="toc 2"/>
    <w:basedOn w:val="Normal"/>
    <w:next w:val="Normal"/>
    <w:autoRedefine/>
    <w:uiPriority w:val="39"/>
    <w:unhideWhenUsed/>
    <w:rsid w:val="000F739F"/>
    <w:pPr>
      <w:tabs>
        <w:tab w:val="right" w:leader="dot" w:pos="9016"/>
      </w:tabs>
      <w:spacing w:after="100" w:line="259" w:lineRule="auto"/>
      <w:ind w:left="170"/>
    </w:pPr>
    <w:rPr>
      <w:rFonts w:eastAsiaTheme="minorHAnsi" w:cstheme="minorBidi"/>
      <w:i/>
      <w:sz w:val="22"/>
    </w:rPr>
  </w:style>
  <w:style w:type="paragraph" w:styleId="Bibliography">
    <w:name w:val="Bibliography"/>
    <w:basedOn w:val="Normal"/>
    <w:next w:val="Normal"/>
    <w:uiPriority w:val="37"/>
    <w:unhideWhenUsed/>
    <w:rsid w:val="00CE4740"/>
    <w:pPr>
      <w:spacing w:after="160" w:line="259" w:lineRule="auto"/>
    </w:pPr>
    <w:rPr>
      <w:rFonts w:asciiTheme="minorHAnsi" w:eastAsiaTheme="minorHAnsi" w:hAnsiTheme="minorHAnsi" w:cstheme="minorBidi"/>
      <w:sz w:val="22"/>
    </w:rPr>
  </w:style>
  <w:style w:type="paragraph" w:styleId="NormalWeb">
    <w:name w:val="Normal (Web)"/>
    <w:basedOn w:val="Normal"/>
    <w:uiPriority w:val="99"/>
    <w:unhideWhenUsed/>
    <w:rsid w:val="00CE4740"/>
    <w:pPr>
      <w:spacing w:before="100" w:beforeAutospacing="1" w:after="100" w:afterAutospacing="1" w:line="240" w:lineRule="auto"/>
    </w:pPr>
    <w:rPr>
      <w:rFonts w:eastAsia="Times New Roman"/>
      <w:szCs w:val="24"/>
      <w:lang w:eastAsia="en-GB"/>
    </w:rPr>
  </w:style>
  <w:style w:type="paragraph" w:styleId="Revision">
    <w:name w:val="Revision"/>
    <w:hidden/>
    <w:uiPriority w:val="99"/>
    <w:semiHidden/>
    <w:rsid w:val="00CE4740"/>
    <w:pPr>
      <w:spacing w:after="0" w:line="240" w:lineRule="auto"/>
    </w:pPr>
  </w:style>
  <w:style w:type="character" w:styleId="FollowedHyperlink">
    <w:name w:val="FollowedHyperlink"/>
    <w:basedOn w:val="DefaultParagraphFont"/>
    <w:uiPriority w:val="99"/>
    <w:semiHidden/>
    <w:unhideWhenUsed/>
    <w:rsid w:val="00CE4740"/>
    <w:rPr>
      <w:color w:val="954F72" w:themeColor="followedHyperlink"/>
      <w:u w:val="single"/>
    </w:rPr>
  </w:style>
  <w:style w:type="paragraph" w:styleId="DocumentMap">
    <w:name w:val="Document Map"/>
    <w:basedOn w:val="Normal"/>
    <w:link w:val="DocumentMapChar"/>
    <w:uiPriority w:val="99"/>
    <w:semiHidden/>
    <w:unhideWhenUsed/>
    <w:rsid w:val="00CE4740"/>
    <w:pPr>
      <w:spacing w:after="0" w:line="240" w:lineRule="auto"/>
    </w:pPr>
    <w:rPr>
      <w:rFonts w:ascii="Lucida Grande" w:eastAsiaTheme="minorHAnsi" w:hAnsi="Lucida Grande" w:cs="Lucida Grande"/>
      <w:szCs w:val="24"/>
    </w:rPr>
  </w:style>
  <w:style w:type="character" w:customStyle="1" w:styleId="DocumentMapChar">
    <w:name w:val="Document Map Char"/>
    <w:basedOn w:val="DefaultParagraphFont"/>
    <w:link w:val="DocumentMap"/>
    <w:uiPriority w:val="99"/>
    <w:semiHidden/>
    <w:rsid w:val="00CE4740"/>
    <w:rPr>
      <w:rFonts w:ascii="Lucida Grande" w:hAnsi="Lucida Grande" w:cs="Lucida Grande"/>
      <w:sz w:val="24"/>
      <w:szCs w:val="24"/>
    </w:rPr>
  </w:style>
  <w:style w:type="paragraph" w:customStyle="1" w:styleId="xmsonormal">
    <w:name w:val="x_msonormal"/>
    <w:basedOn w:val="Normal"/>
    <w:rsid w:val="00CE4740"/>
    <w:pPr>
      <w:spacing w:before="100" w:beforeAutospacing="1" w:after="100" w:afterAutospacing="1" w:line="240" w:lineRule="auto"/>
    </w:pPr>
    <w:rPr>
      <w:rFonts w:eastAsia="Times New Roman"/>
      <w:szCs w:val="24"/>
      <w:lang w:eastAsia="en-GB"/>
    </w:rPr>
  </w:style>
  <w:style w:type="character" w:customStyle="1" w:styleId="UnresolvedMention1">
    <w:name w:val="Unresolved Mention1"/>
    <w:basedOn w:val="DefaultParagraphFont"/>
    <w:uiPriority w:val="99"/>
    <w:semiHidden/>
    <w:unhideWhenUsed/>
    <w:rsid w:val="00CE4740"/>
    <w:rPr>
      <w:color w:val="808080"/>
      <w:shd w:val="clear" w:color="auto" w:fill="E6E6E6"/>
    </w:rPr>
  </w:style>
  <w:style w:type="paragraph" w:styleId="FootnoteText">
    <w:name w:val="footnote text"/>
    <w:basedOn w:val="Normal"/>
    <w:link w:val="FootnoteTextChar"/>
    <w:uiPriority w:val="99"/>
    <w:semiHidden/>
    <w:unhideWhenUsed/>
    <w:rsid w:val="00CE4740"/>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CE4740"/>
    <w:rPr>
      <w:sz w:val="20"/>
      <w:szCs w:val="20"/>
    </w:rPr>
  </w:style>
  <w:style w:type="character" w:styleId="FootnoteReference">
    <w:name w:val="footnote reference"/>
    <w:basedOn w:val="DefaultParagraphFont"/>
    <w:uiPriority w:val="99"/>
    <w:semiHidden/>
    <w:unhideWhenUsed/>
    <w:rsid w:val="00CE4740"/>
    <w:rPr>
      <w:vertAlign w:val="superscript"/>
    </w:rPr>
  </w:style>
  <w:style w:type="table" w:styleId="PlainTable3">
    <w:name w:val="Plain Table 3"/>
    <w:basedOn w:val="TableNormal"/>
    <w:uiPriority w:val="43"/>
    <w:rsid w:val="00CE474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xxmsonormal">
    <w:name w:val="x_xmsonormal"/>
    <w:basedOn w:val="Normal"/>
    <w:rsid w:val="00CE4740"/>
    <w:pPr>
      <w:spacing w:before="100" w:beforeAutospacing="1" w:after="100" w:afterAutospacing="1" w:line="240" w:lineRule="auto"/>
    </w:pPr>
    <w:rPr>
      <w:rFonts w:eastAsia="Times New Roman"/>
      <w:szCs w:val="24"/>
      <w:lang w:eastAsia="en-GB"/>
    </w:rPr>
  </w:style>
  <w:style w:type="paragraph" w:customStyle="1" w:styleId="xxmsolistparagraph">
    <w:name w:val="x_xmsolistparagraph"/>
    <w:basedOn w:val="Normal"/>
    <w:rsid w:val="00CE4740"/>
    <w:pPr>
      <w:spacing w:before="100" w:beforeAutospacing="1" w:after="100" w:afterAutospacing="1" w:line="240" w:lineRule="auto"/>
    </w:pPr>
    <w:rPr>
      <w:rFonts w:eastAsia="Times New Roman"/>
      <w:szCs w:val="24"/>
      <w:lang w:eastAsia="en-GB"/>
    </w:rPr>
  </w:style>
  <w:style w:type="character" w:customStyle="1" w:styleId="apple-converted-space">
    <w:name w:val="apple-converted-space"/>
    <w:basedOn w:val="DefaultParagraphFont"/>
    <w:rsid w:val="00CE4740"/>
  </w:style>
  <w:style w:type="paragraph" w:customStyle="1" w:styleId="CaptionCSC">
    <w:name w:val="Caption CSC"/>
    <w:basedOn w:val="Caption"/>
    <w:link w:val="CaptionCSCChar"/>
    <w:qFormat/>
    <w:rsid w:val="00CE4740"/>
    <w:rPr>
      <w:b/>
      <w:bCs/>
      <w:i w:val="0"/>
      <w:iCs w:val="0"/>
      <w:color w:val="5B9BD5" w:themeColor="accent1"/>
    </w:rPr>
  </w:style>
  <w:style w:type="character" w:customStyle="1" w:styleId="CaptionCSCChar">
    <w:name w:val="Caption CSC Char"/>
    <w:basedOn w:val="CaptionChar"/>
    <w:link w:val="CaptionCSC"/>
    <w:rsid w:val="00CE4740"/>
    <w:rPr>
      <w:rFonts w:ascii="Times New Roman" w:eastAsia="Calibri" w:hAnsi="Times New Roman" w:cs="Times New Roman"/>
      <w:b/>
      <w:bCs/>
      <w:i w:val="0"/>
      <w:iCs w:val="0"/>
      <w:color w:val="5B9BD5" w:themeColor="accent1"/>
      <w:sz w:val="18"/>
      <w:szCs w:val="18"/>
    </w:rPr>
  </w:style>
  <w:style w:type="paragraph" w:styleId="TOC3">
    <w:name w:val="toc 3"/>
    <w:basedOn w:val="Normal"/>
    <w:next w:val="Normal"/>
    <w:autoRedefine/>
    <w:uiPriority w:val="39"/>
    <w:unhideWhenUsed/>
    <w:rsid w:val="001D72D1"/>
    <w:pPr>
      <w:spacing w:after="100"/>
      <w:ind w:left="480"/>
    </w:pPr>
  </w:style>
  <w:style w:type="paragraph" w:styleId="NoSpacing">
    <w:name w:val="No Spacing"/>
    <w:uiPriority w:val="1"/>
    <w:qFormat/>
    <w:rsid w:val="001D72D1"/>
    <w:pPr>
      <w:spacing w:after="0" w:line="240" w:lineRule="auto"/>
    </w:pPr>
    <w:rPr>
      <w:rFonts w:ascii="Times New Roman" w:eastAsia="Calibri" w:hAnsi="Times New Roman" w:cs="Times New Roman"/>
      <w:sz w:val="24"/>
    </w:rPr>
  </w:style>
  <w:style w:type="numbering" w:customStyle="1" w:styleId="ImportedStyle1">
    <w:name w:val="Imported Style 1"/>
    <w:rsid w:val="00DD73A9"/>
    <w:pPr>
      <w:numPr>
        <w:numId w:val="52"/>
      </w:numPr>
    </w:pPr>
  </w:style>
  <w:style w:type="paragraph" w:styleId="TOC4">
    <w:name w:val="toc 4"/>
    <w:basedOn w:val="Normal"/>
    <w:next w:val="Normal"/>
    <w:autoRedefine/>
    <w:uiPriority w:val="39"/>
    <w:unhideWhenUsed/>
    <w:rsid w:val="000671F0"/>
    <w:pPr>
      <w:spacing w:after="100" w:line="259" w:lineRule="auto"/>
      <w:ind w:left="660"/>
    </w:pPr>
    <w:rPr>
      <w:rFonts w:asciiTheme="minorHAnsi" w:eastAsiaTheme="minorEastAsia" w:hAnsiTheme="minorHAnsi" w:cstheme="minorBidi"/>
      <w:sz w:val="22"/>
      <w:lang w:eastAsia="en-GB"/>
    </w:rPr>
  </w:style>
  <w:style w:type="paragraph" w:styleId="TOC5">
    <w:name w:val="toc 5"/>
    <w:basedOn w:val="Normal"/>
    <w:next w:val="Normal"/>
    <w:autoRedefine/>
    <w:uiPriority w:val="39"/>
    <w:unhideWhenUsed/>
    <w:rsid w:val="000671F0"/>
    <w:pPr>
      <w:spacing w:after="100" w:line="259" w:lineRule="auto"/>
      <w:ind w:left="880"/>
    </w:pPr>
    <w:rPr>
      <w:rFonts w:asciiTheme="minorHAnsi" w:eastAsiaTheme="minorEastAsia" w:hAnsiTheme="minorHAnsi" w:cstheme="minorBidi"/>
      <w:sz w:val="22"/>
      <w:lang w:eastAsia="en-GB"/>
    </w:rPr>
  </w:style>
  <w:style w:type="paragraph" w:styleId="TOC6">
    <w:name w:val="toc 6"/>
    <w:basedOn w:val="Normal"/>
    <w:next w:val="Normal"/>
    <w:autoRedefine/>
    <w:uiPriority w:val="39"/>
    <w:unhideWhenUsed/>
    <w:rsid w:val="000671F0"/>
    <w:pPr>
      <w:spacing w:after="100" w:line="259" w:lineRule="auto"/>
      <w:ind w:left="1100"/>
    </w:pPr>
    <w:rPr>
      <w:rFonts w:asciiTheme="minorHAnsi" w:eastAsiaTheme="minorEastAsia" w:hAnsiTheme="minorHAnsi" w:cstheme="minorBidi"/>
      <w:sz w:val="22"/>
      <w:lang w:eastAsia="en-GB"/>
    </w:rPr>
  </w:style>
  <w:style w:type="paragraph" w:styleId="TOC7">
    <w:name w:val="toc 7"/>
    <w:basedOn w:val="Normal"/>
    <w:next w:val="Normal"/>
    <w:autoRedefine/>
    <w:uiPriority w:val="39"/>
    <w:unhideWhenUsed/>
    <w:rsid w:val="000671F0"/>
    <w:pPr>
      <w:spacing w:after="100" w:line="259" w:lineRule="auto"/>
      <w:ind w:left="1320"/>
    </w:pPr>
    <w:rPr>
      <w:rFonts w:asciiTheme="minorHAnsi" w:eastAsiaTheme="minorEastAsia" w:hAnsiTheme="minorHAnsi" w:cstheme="minorBidi"/>
      <w:sz w:val="22"/>
      <w:lang w:eastAsia="en-GB"/>
    </w:rPr>
  </w:style>
  <w:style w:type="paragraph" w:styleId="TOC8">
    <w:name w:val="toc 8"/>
    <w:basedOn w:val="Normal"/>
    <w:next w:val="Normal"/>
    <w:autoRedefine/>
    <w:uiPriority w:val="39"/>
    <w:unhideWhenUsed/>
    <w:rsid w:val="000671F0"/>
    <w:pPr>
      <w:spacing w:after="100" w:line="259" w:lineRule="auto"/>
      <w:ind w:left="1540"/>
    </w:pPr>
    <w:rPr>
      <w:rFonts w:asciiTheme="minorHAnsi" w:eastAsiaTheme="minorEastAsia" w:hAnsiTheme="minorHAnsi" w:cstheme="minorBidi"/>
      <w:sz w:val="22"/>
      <w:lang w:eastAsia="en-GB"/>
    </w:rPr>
  </w:style>
  <w:style w:type="paragraph" w:styleId="TOC9">
    <w:name w:val="toc 9"/>
    <w:basedOn w:val="Normal"/>
    <w:next w:val="Normal"/>
    <w:autoRedefine/>
    <w:uiPriority w:val="39"/>
    <w:unhideWhenUsed/>
    <w:rsid w:val="000671F0"/>
    <w:pPr>
      <w:spacing w:after="100" w:line="259" w:lineRule="auto"/>
      <w:ind w:left="1760"/>
    </w:pPr>
    <w:rPr>
      <w:rFonts w:asciiTheme="minorHAnsi" w:eastAsiaTheme="minorEastAsia" w:hAnsiTheme="minorHAnsi" w:cstheme="minorBidi"/>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734828">
      <w:bodyDiv w:val="1"/>
      <w:marLeft w:val="0"/>
      <w:marRight w:val="0"/>
      <w:marTop w:val="0"/>
      <w:marBottom w:val="0"/>
      <w:divBdr>
        <w:top w:val="none" w:sz="0" w:space="0" w:color="auto"/>
        <w:left w:val="none" w:sz="0" w:space="0" w:color="auto"/>
        <w:bottom w:val="none" w:sz="0" w:space="0" w:color="auto"/>
        <w:right w:val="none" w:sz="0" w:space="0" w:color="auto"/>
      </w:divBdr>
    </w:div>
    <w:div w:id="397169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3.xml"/><Relationship Id="rId26" Type="http://schemas.openxmlformats.org/officeDocument/2006/relationships/image" Target="media/image11.png"/><Relationship Id="rId39" Type="http://schemas.openxmlformats.org/officeDocument/2006/relationships/image" Target="media/image19.png"/><Relationship Id="rId21" Type="http://schemas.openxmlformats.org/officeDocument/2006/relationships/image" Target="media/image6.png"/><Relationship Id="rId34" Type="http://schemas.openxmlformats.org/officeDocument/2006/relationships/chart" Target="charts/chart5.xml"/><Relationship Id="rId42" Type="http://schemas.openxmlformats.org/officeDocument/2006/relationships/image" Target="media/image21.emf"/><Relationship Id="rId47" Type="http://schemas.openxmlformats.org/officeDocument/2006/relationships/image" Target="media/image26.png"/><Relationship Id="rId50" Type="http://schemas.openxmlformats.org/officeDocument/2006/relationships/image" Target="media/image2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chart" Target="charts/chart8.xml"/><Relationship Id="rId40" Type="http://schemas.openxmlformats.org/officeDocument/2006/relationships/footer" Target="footer3.xml"/><Relationship Id="rId45" Type="http://schemas.openxmlformats.org/officeDocument/2006/relationships/image" Target="media/image24.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chart" Target="charts/chart4.xml"/><Relationship Id="rId31" Type="http://schemas.openxmlformats.org/officeDocument/2006/relationships/image" Target="media/image16.png"/><Relationship Id="rId44" Type="http://schemas.openxmlformats.org/officeDocument/2006/relationships/image" Target="media/image23.emf"/><Relationship Id="rId52"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chart" Target="charts/chart6.xml"/><Relationship Id="rId43" Type="http://schemas.openxmlformats.org/officeDocument/2006/relationships/image" Target="media/image22.emf"/><Relationship Id="rId48"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2.xml"/><Relationship Id="rId25" Type="http://schemas.openxmlformats.org/officeDocument/2006/relationships/image" Target="media/image10.png"/><Relationship Id="rId33" Type="http://schemas.openxmlformats.org/officeDocument/2006/relationships/footer" Target="footer2.xml"/><Relationship Id="rId38" Type="http://schemas.openxmlformats.org/officeDocument/2006/relationships/image" Target="media/image18.png"/><Relationship Id="rId46" Type="http://schemas.openxmlformats.org/officeDocument/2006/relationships/image" Target="media/image25.png"/><Relationship Id="rId20" Type="http://schemas.openxmlformats.org/officeDocument/2006/relationships/image" Target="media/image5.png"/><Relationship Id="rId41" Type="http://schemas.openxmlformats.org/officeDocument/2006/relationships/image" Target="media/image20.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chart" Target="charts/chart7.xml"/><Relationship Id="rId49" Type="http://schemas.openxmlformats.org/officeDocument/2006/relationships/image" Target="media/image28.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graph'!$A$59</c:f>
              <c:strCache>
                <c:ptCount val="1"/>
                <c:pt idx="0">
                  <c:v>Most important</c:v>
                </c:pt>
              </c:strCache>
            </c:strRef>
          </c:tx>
          <c:spPr>
            <a:solidFill>
              <a:schemeClr val="tx1">
                <a:lumMod val="95000"/>
                <a:lumOff val="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graph'!$B$59:$G$59</c:f>
              <c:numCache>
                <c:formatCode>0%</c:formatCode>
                <c:ptCount val="6"/>
                <c:pt idx="0">
                  <c:v>3.3613445378151315E-2</c:v>
                </c:pt>
                <c:pt idx="1">
                  <c:v>9.2436974789915902E-2</c:v>
                </c:pt>
                <c:pt idx="2">
                  <c:v>0.10084033613445396</c:v>
                </c:pt>
                <c:pt idx="3">
                  <c:v>0.16806722689075604</c:v>
                </c:pt>
                <c:pt idx="4">
                  <c:v>0.30252100840336099</c:v>
                </c:pt>
                <c:pt idx="5">
                  <c:v>0.31092436974789933</c:v>
                </c:pt>
              </c:numCache>
            </c:numRef>
          </c:val>
          <c:extLst>
            <c:ext xmlns:c16="http://schemas.microsoft.com/office/drawing/2014/chart" uri="{C3380CC4-5D6E-409C-BE32-E72D297353CC}">
              <c16:uniqueId val="{00000000-1D57-4E8C-9CA8-B9ED5D622B5F}"/>
            </c:ext>
          </c:extLst>
        </c:ser>
        <c:ser>
          <c:idx val="1"/>
          <c:order val="1"/>
          <c:tx>
            <c:strRef>
              <c:f>'All combined graph'!$A$60</c:f>
              <c:strCache>
                <c:ptCount val="1"/>
                <c:pt idx="0">
                  <c:v>2</c:v>
                </c:pt>
              </c:strCache>
            </c:strRef>
          </c:tx>
          <c:spPr>
            <a:solidFill>
              <a:srgbClr val="454545"/>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graph'!$B$60:$G$60</c:f>
              <c:numCache>
                <c:formatCode>0%</c:formatCode>
                <c:ptCount val="6"/>
                <c:pt idx="0">
                  <c:v>1.6806722689075609E-2</c:v>
                </c:pt>
                <c:pt idx="1">
                  <c:v>0.13445378151260506</c:v>
                </c:pt>
                <c:pt idx="2">
                  <c:v>0.21008403361344499</c:v>
                </c:pt>
                <c:pt idx="3">
                  <c:v>0.36974789915966422</c:v>
                </c:pt>
                <c:pt idx="4">
                  <c:v>0.13445378151260506</c:v>
                </c:pt>
                <c:pt idx="5">
                  <c:v>0.13445378151260506</c:v>
                </c:pt>
              </c:numCache>
            </c:numRef>
          </c:val>
          <c:extLst>
            <c:ext xmlns:c16="http://schemas.microsoft.com/office/drawing/2014/chart" uri="{C3380CC4-5D6E-409C-BE32-E72D297353CC}">
              <c16:uniqueId val="{00000001-1D57-4E8C-9CA8-B9ED5D622B5F}"/>
            </c:ext>
          </c:extLst>
        </c:ser>
        <c:ser>
          <c:idx val="2"/>
          <c:order val="2"/>
          <c:tx>
            <c:strRef>
              <c:f>'All combined graph'!$A$61</c:f>
              <c:strCache>
                <c:ptCount val="1"/>
                <c:pt idx="0">
                  <c:v>3</c:v>
                </c:pt>
              </c:strCache>
            </c:strRef>
          </c:tx>
          <c:spPr>
            <a:solidFill>
              <a:srgbClr val="797979"/>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graph'!$B$61:$G$61</c:f>
              <c:numCache>
                <c:formatCode>0%</c:formatCode>
                <c:ptCount val="6"/>
                <c:pt idx="0">
                  <c:v>4.20168067226891E-2</c:v>
                </c:pt>
                <c:pt idx="1">
                  <c:v>0.21848739495798311</c:v>
                </c:pt>
                <c:pt idx="2">
                  <c:v>0.19327731092437003</c:v>
                </c:pt>
                <c:pt idx="3">
                  <c:v>0.11764705882352898</c:v>
                </c:pt>
                <c:pt idx="4">
                  <c:v>0.16806722689075604</c:v>
                </c:pt>
                <c:pt idx="5">
                  <c:v>0.25210084033613389</c:v>
                </c:pt>
              </c:numCache>
            </c:numRef>
          </c:val>
          <c:extLst>
            <c:ext xmlns:c16="http://schemas.microsoft.com/office/drawing/2014/chart" uri="{C3380CC4-5D6E-409C-BE32-E72D297353CC}">
              <c16:uniqueId val="{00000002-1D57-4E8C-9CA8-B9ED5D622B5F}"/>
            </c:ext>
          </c:extLst>
        </c:ser>
        <c:ser>
          <c:idx val="3"/>
          <c:order val="3"/>
          <c:tx>
            <c:strRef>
              <c:f>'All combined graph'!$A$62</c:f>
              <c:strCache>
                <c:ptCount val="1"/>
                <c:pt idx="0">
                  <c:v>4</c:v>
                </c:pt>
              </c:strCache>
            </c:strRef>
          </c:tx>
          <c:spPr>
            <a:solidFill>
              <a:schemeClr val="bg1">
                <a:lumMod val="6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graph'!$B$62:$G$62</c:f>
              <c:numCache>
                <c:formatCode>0%</c:formatCode>
                <c:ptCount val="6"/>
                <c:pt idx="0">
                  <c:v>4.20168067226891E-2</c:v>
                </c:pt>
                <c:pt idx="1">
                  <c:v>0.13445378151260506</c:v>
                </c:pt>
                <c:pt idx="2">
                  <c:v>0.29411764705882398</c:v>
                </c:pt>
                <c:pt idx="3">
                  <c:v>0.21008403361344499</c:v>
                </c:pt>
                <c:pt idx="4">
                  <c:v>0.13445378151260506</c:v>
                </c:pt>
                <c:pt idx="5">
                  <c:v>0.17647058823529399</c:v>
                </c:pt>
              </c:numCache>
            </c:numRef>
          </c:val>
          <c:extLst>
            <c:ext xmlns:c16="http://schemas.microsoft.com/office/drawing/2014/chart" uri="{C3380CC4-5D6E-409C-BE32-E72D297353CC}">
              <c16:uniqueId val="{00000003-1D57-4E8C-9CA8-B9ED5D622B5F}"/>
            </c:ext>
          </c:extLst>
        </c:ser>
        <c:ser>
          <c:idx val="4"/>
          <c:order val="4"/>
          <c:tx>
            <c:strRef>
              <c:f>'All combined graph'!$A$63</c:f>
              <c:strCache>
                <c:ptCount val="1"/>
                <c:pt idx="0">
                  <c:v>5</c:v>
                </c:pt>
              </c:strCache>
            </c:strRef>
          </c:tx>
          <c:spPr>
            <a:solidFill>
              <a:schemeClr val="bg1">
                <a:lumMod val="7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graph'!$B$63:$G$63</c:f>
              <c:numCache>
                <c:formatCode>0%</c:formatCode>
                <c:ptCount val="6"/>
                <c:pt idx="0">
                  <c:v>0.10084033613445396</c:v>
                </c:pt>
                <c:pt idx="1">
                  <c:v>0.33613445378151302</c:v>
                </c:pt>
                <c:pt idx="2">
                  <c:v>0.151260504201681</c:v>
                </c:pt>
                <c:pt idx="3">
                  <c:v>0.126050420168067</c:v>
                </c:pt>
                <c:pt idx="4">
                  <c:v>0.17647058823529399</c:v>
                </c:pt>
                <c:pt idx="5">
                  <c:v>0.10924369747899206</c:v>
                </c:pt>
              </c:numCache>
            </c:numRef>
          </c:val>
          <c:extLst>
            <c:ext xmlns:c16="http://schemas.microsoft.com/office/drawing/2014/chart" uri="{C3380CC4-5D6E-409C-BE32-E72D297353CC}">
              <c16:uniqueId val="{00000004-1D57-4E8C-9CA8-B9ED5D622B5F}"/>
            </c:ext>
          </c:extLst>
        </c:ser>
        <c:ser>
          <c:idx val="5"/>
          <c:order val="5"/>
          <c:tx>
            <c:strRef>
              <c:f>'All combined graph'!$A$64</c:f>
              <c:strCache>
                <c:ptCount val="1"/>
                <c:pt idx="0">
                  <c:v>Least important</c:v>
                </c:pt>
              </c:strCache>
            </c:strRef>
          </c:tx>
          <c:spPr>
            <a:solidFill>
              <a:schemeClr val="bg1">
                <a:lumMod val="9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graph'!$B$64:$G$64</c:f>
              <c:numCache>
                <c:formatCode>0%</c:formatCode>
                <c:ptCount val="6"/>
                <c:pt idx="0">
                  <c:v>0.76470588235294124</c:v>
                </c:pt>
                <c:pt idx="1">
                  <c:v>8.4033613445378089E-2</c:v>
                </c:pt>
                <c:pt idx="2">
                  <c:v>5.0420168067226892E-2</c:v>
                </c:pt>
                <c:pt idx="3">
                  <c:v>8.4033613445378061E-3</c:v>
                </c:pt>
                <c:pt idx="4">
                  <c:v>8.4033613445378089E-2</c:v>
                </c:pt>
                <c:pt idx="5">
                  <c:v>1.6806722689075609E-2</c:v>
                </c:pt>
              </c:numCache>
            </c:numRef>
          </c:val>
          <c:extLst>
            <c:ext xmlns:c16="http://schemas.microsoft.com/office/drawing/2014/chart" uri="{C3380CC4-5D6E-409C-BE32-E72D297353CC}">
              <c16:uniqueId val="{00000005-1D57-4E8C-9CA8-B9ED5D622B5F}"/>
            </c:ext>
          </c:extLst>
        </c:ser>
        <c:dLbls>
          <c:showLegendKey val="0"/>
          <c:showVal val="0"/>
          <c:showCatName val="0"/>
          <c:showSerName val="0"/>
          <c:showPercent val="0"/>
          <c:showBubbleSize val="0"/>
        </c:dLbls>
        <c:gapWidth val="150"/>
        <c:overlap val="100"/>
        <c:axId val="286617600"/>
        <c:axId val="286619136"/>
      </c:barChart>
      <c:catAx>
        <c:axId val="286617600"/>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86619136"/>
        <c:crosses val="autoZero"/>
        <c:auto val="1"/>
        <c:lblAlgn val="ctr"/>
        <c:lblOffset val="100"/>
        <c:noMultiLvlLbl val="0"/>
      </c:catAx>
      <c:valAx>
        <c:axId val="286619136"/>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86617600"/>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graph'!$A$87</c:f>
              <c:strCache>
                <c:ptCount val="1"/>
                <c:pt idx="0">
                  <c:v>Most important</c:v>
                </c:pt>
              </c:strCache>
            </c:strRef>
          </c:tx>
          <c:spPr>
            <a:solidFill>
              <a:schemeClr val="tx1">
                <a:lumMod val="95000"/>
                <a:lumOff val="5000"/>
              </a:schemeClr>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graph'!$B$87:$G$87</c:f>
              <c:numCache>
                <c:formatCode>0%</c:formatCode>
                <c:ptCount val="6"/>
                <c:pt idx="0">
                  <c:v>2.6548672566371709E-2</c:v>
                </c:pt>
                <c:pt idx="1">
                  <c:v>7.0796460176991247E-2</c:v>
                </c:pt>
                <c:pt idx="2">
                  <c:v>9.7345132743362803E-2</c:v>
                </c:pt>
                <c:pt idx="3">
                  <c:v>0.19469026548672599</c:v>
                </c:pt>
                <c:pt idx="4">
                  <c:v>0.22123893805309705</c:v>
                </c:pt>
                <c:pt idx="5">
                  <c:v>0.38938053097345132</c:v>
                </c:pt>
              </c:numCache>
            </c:numRef>
          </c:val>
          <c:extLst>
            <c:ext xmlns:c16="http://schemas.microsoft.com/office/drawing/2014/chart" uri="{C3380CC4-5D6E-409C-BE32-E72D297353CC}">
              <c16:uniqueId val="{00000000-4E3A-4AB0-9DAC-56B4EFA2D1BF}"/>
            </c:ext>
          </c:extLst>
        </c:ser>
        <c:ser>
          <c:idx val="1"/>
          <c:order val="1"/>
          <c:tx>
            <c:strRef>
              <c:f>'All combined graph'!$A$88</c:f>
              <c:strCache>
                <c:ptCount val="1"/>
                <c:pt idx="0">
                  <c:v>2</c:v>
                </c:pt>
              </c:strCache>
            </c:strRef>
          </c:tx>
          <c:spPr>
            <a:solidFill>
              <a:srgbClr val="363636"/>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graph'!$B$88:$G$88</c:f>
              <c:numCache>
                <c:formatCode>0%</c:formatCode>
                <c:ptCount val="6"/>
                <c:pt idx="0">
                  <c:v>1.7699115044247801E-2</c:v>
                </c:pt>
                <c:pt idx="1">
                  <c:v>0.10619469026548706</c:v>
                </c:pt>
                <c:pt idx="2">
                  <c:v>0.17699115044247815</c:v>
                </c:pt>
                <c:pt idx="3">
                  <c:v>0.15929203539823011</c:v>
                </c:pt>
                <c:pt idx="4">
                  <c:v>0.37168141592920423</c:v>
                </c:pt>
                <c:pt idx="5">
                  <c:v>0.16814159292035397</c:v>
                </c:pt>
              </c:numCache>
            </c:numRef>
          </c:val>
          <c:extLst>
            <c:ext xmlns:c16="http://schemas.microsoft.com/office/drawing/2014/chart" uri="{C3380CC4-5D6E-409C-BE32-E72D297353CC}">
              <c16:uniqueId val="{00000001-4E3A-4AB0-9DAC-56B4EFA2D1BF}"/>
            </c:ext>
          </c:extLst>
        </c:ser>
        <c:ser>
          <c:idx val="2"/>
          <c:order val="2"/>
          <c:tx>
            <c:strRef>
              <c:f>'All combined graph'!$A$89</c:f>
              <c:strCache>
                <c:ptCount val="1"/>
                <c:pt idx="0">
                  <c:v>3</c:v>
                </c:pt>
              </c:strCache>
            </c:strRef>
          </c:tx>
          <c:spPr>
            <a:solidFill>
              <a:srgbClr val="626262"/>
            </a:solidFill>
            <a:ln>
              <a:solidFill>
                <a:schemeClr val="bg1"/>
              </a:solidFill>
            </a:ln>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graph'!$B$89:$G$89</c:f>
              <c:numCache>
                <c:formatCode>0%</c:formatCode>
                <c:ptCount val="6"/>
                <c:pt idx="0">
                  <c:v>8.8495575221238972E-3</c:v>
                </c:pt>
                <c:pt idx="1">
                  <c:v>0.22123893805309705</c:v>
                </c:pt>
                <c:pt idx="2">
                  <c:v>0.25663716814159288</c:v>
                </c:pt>
                <c:pt idx="3">
                  <c:v>0.23893805309734512</c:v>
                </c:pt>
                <c:pt idx="4">
                  <c:v>0.123893805309735</c:v>
                </c:pt>
                <c:pt idx="5">
                  <c:v>0.15044247787610615</c:v>
                </c:pt>
              </c:numCache>
            </c:numRef>
          </c:val>
          <c:extLst>
            <c:ext xmlns:c16="http://schemas.microsoft.com/office/drawing/2014/chart" uri="{C3380CC4-5D6E-409C-BE32-E72D297353CC}">
              <c16:uniqueId val="{00000002-4E3A-4AB0-9DAC-56B4EFA2D1BF}"/>
            </c:ext>
          </c:extLst>
        </c:ser>
        <c:ser>
          <c:idx val="3"/>
          <c:order val="3"/>
          <c:tx>
            <c:strRef>
              <c:f>'All combined graph'!$A$90</c:f>
              <c:strCache>
                <c:ptCount val="1"/>
                <c:pt idx="0">
                  <c:v>4</c:v>
                </c:pt>
              </c:strCache>
            </c:strRef>
          </c:tx>
          <c:spPr>
            <a:solidFill>
              <a:srgbClr val="949494"/>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graph'!$B$90:$G$90</c:f>
              <c:numCache>
                <c:formatCode>0%</c:formatCode>
                <c:ptCount val="6"/>
                <c:pt idx="0">
                  <c:v>4.4247787610619496E-2</c:v>
                </c:pt>
                <c:pt idx="1">
                  <c:v>0.25663716814159288</c:v>
                </c:pt>
                <c:pt idx="2">
                  <c:v>0.17699115044247815</c:v>
                </c:pt>
                <c:pt idx="3">
                  <c:v>0.26548672566371712</c:v>
                </c:pt>
                <c:pt idx="4">
                  <c:v>0.19469026548672599</c:v>
                </c:pt>
                <c:pt idx="5">
                  <c:v>6.1946902654867297E-2</c:v>
                </c:pt>
              </c:numCache>
            </c:numRef>
          </c:val>
          <c:extLst>
            <c:ext xmlns:c16="http://schemas.microsoft.com/office/drawing/2014/chart" uri="{C3380CC4-5D6E-409C-BE32-E72D297353CC}">
              <c16:uniqueId val="{00000003-4E3A-4AB0-9DAC-56B4EFA2D1BF}"/>
            </c:ext>
          </c:extLst>
        </c:ser>
        <c:ser>
          <c:idx val="4"/>
          <c:order val="4"/>
          <c:tx>
            <c:strRef>
              <c:f>'All combined graph'!$A$91</c:f>
              <c:strCache>
                <c:ptCount val="1"/>
                <c:pt idx="0">
                  <c:v>5</c:v>
                </c:pt>
              </c:strCache>
            </c:strRef>
          </c:tx>
          <c:spPr>
            <a:solidFill>
              <a:srgbClr val="BEBEBE"/>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graph'!$B$91:$G$91</c:f>
              <c:numCache>
                <c:formatCode>0%</c:formatCode>
                <c:ptCount val="6"/>
                <c:pt idx="0">
                  <c:v>8.8495575221238937E-2</c:v>
                </c:pt>
                <c:pt idx="1">
                  <c:v>0.3097345132743361</c:v>
                </c:pt>
                <c:pt idx="2">
                  <c:v>0.23008849557522115</c:v>
                </c:pt>
                <c:pt idx="3">
                  <c:v>0.123893805309735</c:v>
                </c:pt>
                <c:pt idx="4">
                  <c:v>8.8495575221238937E-2</c:v>
                </c:pt>
                <c:pt idx="5">
                  <c:v>0.15929203539823011</c:v>
                </c:pt>
              </c:numCache>
            </c:numRef>
          </c:val>
          <c:extLst>
            <c:ext xmlns:c16="http://schemas.microsoft.com/office/drawing/2014/chart" uri="{C3380CC4-5D6E-409C-BE32-E72D297353CC}">
              <c16:uniqueId val="{00000004-4E3A-4AB0-9DAC-56B4EFA2D1BF}"/>
            </c:ext>
          </c:extLst>
        </c:ser>
        <c:ser>
          <c:idx val="5"/>
          <c:order val="5"/>
          <c:tx>
            <c:strRef>
              <c:f>'All combined graph'!$A$92</c:f>
              <c:strCache>
                <c:ptCount val="1"/>
                <c:pt idx="0">
                  <c:v>Least important</c:v>
                </c:pt>
              </c:strCache>
            </c:strRef>
          </c:tx>
          <c:spPr>
            <a:solidFill>
              <a:srgbClr val="F5F5F5"/>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graph'!$B$92:$G$92</c:f>
              <c:numCache>
                <c:formatCode>0%</c:formatCode>
                <c:ptCount val="6"/>
                <c:pt idx="0">
                  <c:v>0.81415929203539839</c:v>
                </c:pt>
                <c:pt idx="1">
                  <c:v>3.5398230088495602E-2</c:v>
                </c:pt>
                <c:pt idx="2">
                  <c:v>6.1946902654867297E-2</c:v>
                </c:pt>
                <c:pt idx="3">
                  <c:v>1.7699115044247801E-2</c:v>
                </c:pt>
                <c:pt idx="4">
                  <c:v>0</c:v>
                </c:pt>
                <c:pt idx="5">
                  <c:v>7.0796460176991247E-2</c:v>
                </c:pt>
              </c:numCache>
            </c:numRef>
          </c:val>
          <c:extLst>
            <c:ext xmlns:c16="http://schemas.microsoft.com/office/drawing/2014/chart" uri="{C3380CC4-5D6E-409C-BE32-E72D297353CC}">
              <c16:uniqueId val="{00000005-4E3A-4AB0-9DAC-56B4EFA2D1BF}"/>
            </c:ext>
          </c:extLst>
        </c:ser>
        <c:dLbls>
          <c:showLegendKey val="0"/>
          <c:showVal val="0"/>
          <c:showCatName val="0"/>
          <c:showSerName val="0"/>
          <c:showPercent val="0"/>
          <c:showBubbleSize val="0"/>
        </c:dLbls>
        <c:gapWidth val="150"/>
        <c:overlap val="100"/>
        <c:axId val="298333312"/>
        <c:axId val="298334848"/>
      </c:barChart>
      <c:catAx>
        <c:axId val="298333312"/>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34848"/>
        <c:crosses val="autoZero"/>
        <c:auto val="1"/>
        <c:lblAlgn val="ctr"/>
        <c:lblOffset val="100"/>
        <c:noMultiLvlLbl val="0"/>
      </c:catAx>
      <c:valAx>
        <c:axId val="298334848"/>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33312"/>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graph'!$A$31</c:f>
              <c:strCache>
                <c:ptCount val="1"/>
                <c:pt idx="0">
                  <c:v>Most important</c:v>
                </c:pt>
              </c:strCache>
            </c:strRef>
          </c:tx>
          <c:spPr>
            <a:solidFill>
              <a:schemeClr val="tx1"/>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graph'!$B$31:$G$31</c:f>
              <c:numCache>
                <c:formatCode>0%</c:formatCode>
                <c:ptCount val="6"/>
                <c:pt idx="0">
                  <c:v>4.1666666666666699E-2</c:v>
                </c:pt>
                <c:pt idx="1">
                  <c:v>0.125</c:v>
                </c:pt>
                <c:pt idx="2">
                  <c:v>0.13541666666666699</c:v>
                </c:pt>
                <c:pt idx="3">
                  <c:v>0.18750000000000006</c:v>
                </c:pt>
                <c:pt idx="4">
                  <c:v>0.21875000000000006</c:v>
                </c:pt>
                <c:pt idx="5">
                  <c:v>0.29166666666666713</c:v>
                </c:pt>
              </c:numCache>
            </c:numRef>
          </c:val>
          <c:extLst>
            <c:ext xmlns:c16="http://schemas.microsoft.com/office/drawing/2014/chart" uri="{C3380CC4-5D6E-409C-BE32-E72D297353CC}">
              <c16:uniqueId val="{00000000-688E-4768-9183-49B7C125FCAD}"/>
            </c:ext>
          </c:extLst>
        </c:ser>
        <c:ser>
          <c:idx val="1"/>
          <c:order val="1"/>
          <c:tx>
            <c:strRef>
              <c:f>'All combined graph'!$A$32</c:f>
              <c:strCache>
                <c:ptCount val="1"/>
                <c:pt idx="0">
                  <c:v>2</c:v>
                </c:pt>
              </c:strCache>
            </c:strRef>
          </c:tx>
          <c:spPr>
            <a:solidFill>
              <a:srgbClr val="585858"/>
            </a:solidFill>
            <a:ln>
              <a:solidFill>
                <a:schemeClr val="bg1"/>
              </a:solidFill>
            </a:ln>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graph'!$B$32:$G$32</c:f>
              <c:numCache>
                <c:formatCode>0%</c:formatCode>
                <c:ptCount val="6"/>
                <c:pt idx="0">
                  <c:v>3.125E-2</c:v>
                </c:pt>
                <c:pt idx="1">
                  <c:v>0.13541666666666699</c:v>
                </c:pt>
                <c:pt idx="2">
                  <c:v>0.13541666666666699</c:v>
                </c:pt>
                <c:pt idx="3">
                  <c:v>0.3229166666666673</c:v>
                </c:pt>
                <c:pt idx="4">
                  <c:v>0.125</c:v>
                </c:pt>
                <c:pt idx="5">
                  <c:v>0.25</c:v>
                </c:pt>
              </c:numCache>
            </c:numRef>
          </c:val>
          <c:extLst>
            <c:ext xmlns:c16="http://schemas.microsoft.com/office/drawing/2014/chart" uri="{C3380CC4-5D6E-409C-BE32-E72D297353CC}">
              <c16:uniqueId val="{00000001-688E-4768-9183-49B7C125FCAD}"/>
            </c:ext>
          </c:extLst>
        </c:ser>
        <c:ser>
          <c:idx val="2"/>
          <c:order val="2"/>
          <c:tx>
            <c:strRef>
              <c:f>'All combined graph'!$A$33</c:f>
              <c:strCache>
                <c:ptCount val="1"/>
                <c:pt idx="0">
                  <c:v>3</c:v>
                </c:pt>
              </c:strCache>
            </c:strRef>
          </c:tx>
          <c:spPr>
            <a:solidFill>
              <a:srgbClr val="848484"/>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graph'!$B$33:$G$33</c:f>
              <c:numCache>
                <c:formatCode>0%</c:formatCode>
                <c:ptCount val="6"/>
                <c:pt idx="0">
                  <c:v>6.25E-2</c:v>
                </c:pt>
                <c:pt idx="1">
                  <c:v>0.21875000000000006</c:v>
                </c:pt>
                <c:pt idx="2">
                  <c:v>0.21875000000000006</c:v>
                </c:pt>
                <c:pt idx="3">
                  <c:v>0.25</c:v>
                </c:pt>
                <c:pt idx="4">
                  <c:v>0.15625000000000006</c:v>
                </c:pt>
                <c:pt idx="5">
                  <c:v>9.3750000000000042E-2</c:v>
                </c:pt>
              </c:numCache>
            </c:numRef>
          </c:val>
          <c:extLst>
            <c:ext xmlns:c16="http://schemas.microsoft.com/office/drawing/2014/chart" uri="{C3380CC4-5D6E-409C-BE32-E72D297353CC}">
              <c16:uniqueId val="{00000002-688E-4768-9183-49B7C125FCAD}"/>
            </c:ext>
          </c:extLst>
        </c:ser>
        <c:ser>
          <c:idx val="3"/>
          <c:order val="3"/>
          <c:tx>
            <c:strRef>
              <c:f>'All combined graph'!$A$34</c:f>
              <c:strCache>
                <c:ptCount val="1"/>
                <c:pt idx="0">
                  <c:v>4</c:v>
                </c:pt>
              </c:strCache>
            </c:strRef>
          </c:tx>
          <c:spPr>
            <a:solidFill>
              <a:srgbClr val="B4B4B4"/>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graph'!$B$34:$G$34</c:f>
              <c:numCache>
                <c:formatCode>0%</c:formatCode>
                <c:ptCount val="6"/>
                <c:pt idx="0">
                  <c:v>9.3750000000000042E-2</c:v>
                </c:pt>
                <c:pt idx="1">
                  <c:v>0.28125</c:v>
                </c:pt>
                <c:pt idx="2">
                  <c:v>0.17708333333333307</c:v>
                </c:pt>
                <c:pt idx="3">
                  <c:v>0.15625000000000006</c:v>
                </c:pt>
                <c:pt idx="4">
                  <c:v>0.13541666666666699</c:v>
                </c:pt>
                <c:pt idx="5">
                  <c:v>0.15625000000000006</c:v>
                </c:pt>
              </c:numCache>
            </c:numRef>
          </c:val>
          <c:extLst>
            <c:ext xmlns:c16="http://schemas.microsoft.com/office/drawing/2014/chart" uri="{C3380CC4-5D6E-409C-BE32-E72D297353CC}">
              <c16:uniqueId val="{00000003-688E-4768-9183-49B7C125FCAD}"/>
            </c:ext>
          </c:extLst>
        </c:ser>
        <c:ser>
          <c:idx val="4"/>
          <c:order val="4"/>
          <c:tx>
            <c:strRef>
              <c:f>'All combined graph'!$A$35</c:f>
              <c:strCache>
                <c:ptCount val="1"/>
                <c:pt idx="0">
                  <c:v>5</c:v>
                </c:pt>
              </c:strCache>
            </c:strRef>
          </c:tx>
          <c:spPr>
            <a:solidFill>
              <a:srgbClr val="CFCFCF"/>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graph'!$B$35:$G$35</c:f>
              <c:numCache>
                <c:formatCode>0%</c:formatCode>
                <c:ptCount val="6"/>
                <c:pt idx="0">
                  <c:v>0.13541666666666699</c:v>
                </c:pt>
                <c:pt idx="1">
                  <c:v>0.16666666666666693</c:v>
                </c:pt>
                <c:pt idx="2">
                  <c:v>0.23958333333333307</c:v>
                </c:pt>
                <c:pt idx="3">
                  <c:v>7.2916666666666727E-2</c:v>
                </c:pt>
                <c:pt idx="4">
                  <c:v>0.23958333333333307</c:v>
                </c:pt>
                <c:pt idx="5">
                  <c:v>0.14583333333333307</c:v>
                </c:pt>
              </c:numCache>
            </c:numRef>
          </c:val>
          <c:extLst>
            <c:ext xmlns:c16="http://schemas.microsoft.com/office/drawing/2014/chart" uri="{C3380CC4-5D6E-409C-BE32-E72D297353CC}">
              <c16:uniqueId val="{00000004-688E-4768-9183-49B7C125FCAD}"/>
            </c:ext>
          </c:extLst>
        </c:ser>
        <c:ser>
          <c:idx val="5"/>
          <c:order val="5"/>
          <c:tx>
            <c:strRef>
              <c:f>'All combined graph'!$A$36</c:f>
              <c:strCache>
                <c:ptCount val="1"/>
                <c:pt idx="0">
                  <c:v>Least important</c:v>
                </c:pt>
              </c:strCache>
            </c:strRef>
          </c:tx>
          <c:spPr>
            <a:solidFill>
              <a:schemeClr val="bg1">
                <a:lumMod val="95000"/>
              </a:schemeClr>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graph'!$B$36:$G$36</c:f>
              <c:numCache>
                <c:formatCode>0%</c:formatCode>
                <c:ptCount val="6"/>
                <c:pt idx="0">
                  <c:v>0.63541666666666596</c:v>
                </c:pt>
                <c:pt idx="1">
                  <c:v>7.2916666666666727E-2</c:v>
                </c:pt>
                <c:pt idx="2">
                  <c:v>9.3750000000000042E-2</c:v>
                </c:pt>
                <c:pt idx="3">
                  <c:v>1.0416666666666699E-2</c:v>
                </c:pt>
                <c:pt idx="4">
                  <c:v>0.125</c:v>
                </c:pt>
                <c:pt idx="5">
                  <c:v>6.25E-2</c:v>
                </c:pt>
              </c:numCache>
            </c:numRef>
          </c:val>
          <c:extLst>
            <c:ext xmlns:c16="http://schemas.microsoft.com/office/drawing/2014/chart" uri="{C3380CC4-5D6E-409C-BE32-E72D297353CC}">
              <c16:uniqueId val="{00000005-688E-4768-9183-49B7C125FCAD}"/>
            </c:ext>
          </c:extLst>
        </c:ser>
        <c:dLbls>
          <c:showLegendKey val="0"/>
          <c:showVal val="0"/>
          <c:showCatName val="0"/>
          <c:showSerName val="0"/>
          <c:showPercent val="0"/>
          <c:showBubbleSize val="0"/>
        </c:dLbls>
        <c:gapWidth val="150"/>
        <c:overlap val="100"/>
        <c:axId val="290121984"/>
        <c:axId val="298352640"/>
      </c:barChart>
      <c:catAx>
        <c:axId val="290121984"/>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52640"/>
        <c:crosses val="autoZero"/>
        <c:auto val="1"/>
        <c:lblAlgn val="ctr"/>
        <c:lblOffset val="100"/>
        <c:noMultiLvlLbl val="0"/>
      </c:catAx>
      <c:valAx>
        <c:axId val="298352640"/>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0121984"/>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758775215934636E-2"/>
          <c:y val="5.1400554097404495E-2"/>
          <c:w val="0.67787990594532954"/>
          <c:h val="0.45162219305920115"/>
        </c:manualLayout>
      </c:layout>
      <c:barChart>
        <c:barDir val="col"/>
        <c:grouping val="clustered"/>
        <c:varyColors val="0"/>
        <c:ser>
          <c:idx val="0"/>
          <c:order val="0"/>
          <c:tx>
            <c:v>Centralised service</c:v>
          </c:tx>
          <c:spPr>
            <a:solidFill>
              <a:schemeClr val="tx1">
                <a:lumMod val="65000"/>
                <a:lumOff val="35000"/>
              </a:schemeClr>
            </a:solidFill>
            <a:ln>
              <a:solidFill>
                <a:schemeClr val="tx1"/>
              </a:solidFill>
            </a:ln>
          </c:spPr>
          <c:invertIfNegative val="0"/>
          <c:cat>
            <c:strRef>
              <c:f>Hoja1!$M$76:$R$76</c:f>
              <c:strCache>
                <c:ptCount val="6"/>
                <c:pt idx="0">
                  <c:v>Worst case scenario</c:v>
                </c:pt>
                <c:pt idx="1">
                  <c:v>
Surgeon 24/7</c:v>
                </c:pt>
                <c:pt idx="2">
                  <c:v>Specialist MDT</c:v>
                </c:pt>
                <c:pt idx="3">
                  <c:v>Lower complication risk</c:v>
                </c:pt>
                <c:pt idx="4">
                  <c:v>Lower mortality risk</c:v>
                </c:pt>
                <c:pt idx="5">
                  <c:v>Best case scenario</c:v>
                </c:pt>
              </c:strCache>
            </c:strRef>
          </c:cat>
          <c:val>
            <c:numRef>
              <c:f>Hoja1!$M$77:$R$77</c:f>
              <c:numCache>
                <c:formatCode>General</c:formatCode>
                <c:ptCount val="6"/>
                <c:pt idx="0">
                  <c:v>0.45958834166337997</c:v>
                </c:pt>
                <c:pt idx="1">
                  <c:v>0.71508285532683202</c:v>
                </c:pt>
                <c:pt idx="2">
                  <c:v>0.73621736572355478</c:v>
                </c:pt>
                <c:pt idx="3">
                  <c:v>0.75789989231589483</c:v>
                </c:pt>
                <c:pt idx="4">
                  <c:v>0.76058692543120576</c:v>
                </c:pt>
                <c:pt idx="5">
                  <c:v>0.91741258560299954</c:v>
                </c:pt>
              </c:numCache>
            </c:numRef>
          </c:val>
          <c:extLst>
            <c:ext xmlns:c16="http://schemas.microsoft.com/office/drawing/2014/chart" uri="{C3380CC4-5D6E-409C-BE32-E72D297353CC}">
              <c16:uniqueId val="{00000000-4738-41D0-8FA3-12D9CEA3F777}"/>
            </c:ext>
          </c:extLst>
        </c:ser>
        <c:ser>
          <c:idx val="1"/>
          <c:order val="1"/>
          <c:tx>
            <c:v>Non-centralised service</c:v>
          </c:tx>
          <c:spPr>
            <a:solidFill>
              <a:schemeClr val="bg1">
                <a:lumMod val="65000"/>
              </a:schemeClr>
            </a:solidFill>
            <a:ln>
              <a:solidFill>
                <a:schemeClr val="tx1"/>
              </a:solidFill>
            </a:ln>
          </c:spPr>
          <c:invertIfNegative val="0"/>
          <c:cat>
            <c:strRef>
              <c:f>Hoja1!$M$76:$R$76</c:f>
              <c:strCache>
                <c:ptCount val="6"/>
                <c:pt idx="0">
                  <c:v>Worst case scenario</c:v>
                </c:pt>
                <c:pt idx="1">
                  <c:v>
Surgeon 24/7</c:v>
                </c:pt>
                <c:pt idx="2">
                  <c:v>Specialist MDT</c:v>
                </c:pt>
                <c:pt idx="3">
                  <c:v>Lower complication risk</c:v>
                </c:pt>
                <c:pt idx="4">
                  <c:v>Lower mortality risk</c:v>
                </c:pt>
                <c:pt idx="5">
                  <c:v>Best case scenario</c:v>
                </c:pt>
              </c:strCache>
            </c:strRef>
          </c:cat>
          <c:val>
            <c:numRef>
              <c:f>Hoja1!$M$78:$R$78</c:f>
              <c:numCache>
                <c:formatCode>General</c:formatCode>
                <c:ptCount val="6"/>
                <c:pt idx="0">
                  <c:v>0.54041165833661997</c:v>
                </c:pt>
                <c:pt idx="1">
                  <c:v>0.28491714467316787</c:v>
                </c:pt>
                <c:pt idx="2">
                  <c:v>0.2637826342764451</c:v>
                </c:pt>
                <c:pt idx="3">
                  <c:v>0.242100107684107</c:v>
                </c:pt>
                <c:pt idx="4">
                  <c:v>0.23941307456879407</c:v>
                </c:pt>
                <c:pt idx="5">
                  <c:v>8.2587414397E-2</c:v>
                </c:pt>
              </c:numCache>
            </c:numRef>
          </c:val>
          <c:extLst>
            <c:ext xmlns:c16="http://schemas.microsoft.com/office/drawing/2014/chart" uri="{C3380CC4-5D6E-409C-BE32-E72D297353CC}">
              <c16:uniqueId val="{00000001-4738-41D0-8FA3-12D9CEA3F777}"/>
            </c:ext>
          </c:extLst>
        </c:ser>
        <c:dLbls>
          <c:showLegendKey val="0"/>
          <c:showVal val="0"/>
          <c:showCatName val="0"/>
          <c:showSerName val="0"/>
          <c:showPercent val="0"/>
          <c:showBubbleSize val="0"/>
        </c:dLbls>
        <c:gapWidth val="150"/>
        <c:axId val="275071360"/>
        <c:axId val="275072896"/>
      </c:barChart>
      <c:catAx>
        <c:axId val="275071360"/>
        <c:scaling>
          <c:orientation val="minMax"/>
        </c:scaling>
        <c:delete val="0"/>
        <c:axPos val="b"/>
        <c:title>
          <c:tx>
            <c:rich>
              <a:bodyPr/>
              <a:lstStyle/>
              <a:p>
                <a:pPr>
                  <a:defRPr/>
                </a:pPr>
                <a:r>
                  <a:rPr lang="en-GB">
                    <a:latin typeface="Times New Roman" panose="02020603050405020304" pitchFamily="18" charset="0"/>
                    <a:cs typeface="Times New Roman" panose="02020603050405020304" pitchFamily="18" charset="0"/>
                  </a:rPr>
                  <a:t>Attribute</a:t>
                </a:r>
              </a:p>
            </c:rich>
          </c:tx>
          <c:overlay val="0"/>
        </c:title>
        <c:numFmt formatCode="General" sourceLinked="0"/>
        <c:majorTickMark val="out"/>
        <c:minorTickMark val="none"/>
        <c:tickLblPos val="nextTo"/>
        <c:txPr>
          <a:bodyPr rot="-5400000" vert="horz"/>
          <a:lstStyle/>
          <a:p>
            <a:pPr>
              <a:defRPr sz="1000" baseline="0">
                <a:latin typeface="Times New Roman" panose="02020603050405020304" pitchFamily="18" charset="0"/>
                <a:cs typeface="Times New Roman" panose="02020603050405020304" pitchFamily="18" charset="0"/>
              </a:defRPr>
            </a:pPr>
            <a:endParaRPr lang="en-US"/>
          </a:p>
        </c:txPr>
        <c:crossAx val="275072896"/>
        <c:crosses val="autoZero"/>
        <c:auto val="1"/>
        <c:lblAlgn val="ctr"/>
        <c:lblOffset val="100"/>
        <c:noMultiLvlLbl val="0"/>
      </c:catAx>
      <c:valAx>
        <c:axId val="275072896"/>
        <c:scaling>
          <c:orientation val="minMax"/>
        </c:scaling>
        <c:delete val="0"/>
        <c:axPos val="l"/>
        <c:majorGridlines/>
        <c:title>
          <c:tx>
            <c:rich>
              <a:bodyPr/>
              <a:lstStyle/>
              <a:p>
                <a:pPr>
                  <a:defRPr/>
                </a:pPr>
                <a:r>
                  <a:rPr lang="en-GB">
                    <a:latin typeface="Times New Roman" panose="02020603050405020304" pitchFamily="18" charset="0"/>
                    <a:cs typeface="Times New Roman" panose="02020603050405020304" pitchFamily="18" charset="0"/>
                  </a:rPr>
                  <a:t>Predicted</a:t>
                </a:r>
                <a:r>
                  <a:rPr lang="en-GB" baseline="0">
                    <a:latin typeface="Times New Roman" panose="02020603050405020304" pitchFamily="18" charset="0"/>
                    <a:cs typeface="Times New Roman" panose="02020603050405020304" pitchFamily="18" charset="0"/>
                  </a:rPr>
                  <a:t> probability</a:t>
                </a:r>
                <a:endParaRPr lang="en-GB">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txPr>
          <a:bodyPr/>
          <a:lstStyle/>
          <a:p>
            <a:pPr>
              <a:defRPr baseline="0">
                <a:latin typeface="Times New Roman" panose="02020603050405020304" pitchFamily="18" charset="0"/>
                <a:cs typeface="Times New Roman" panose="02020603050405020304" pitchFamily="18" charset="0"/>
              </a:defRPr>
            </a:pPr>
            <a:endParaRPr lang="en-US"/>
          </a:p>
        </c:txPr>
        <c:crossAx val="275071360"/>
        <c:crosses val="autoZero"/>
        <c:crossBetween val="between"/>
        <c:majorUnit val="0.2"/>
      </c:valAx>
    </c:plotArea>
    <c:legend>
      <c:legendPos val="r"/>
      <c:layout>
        <c:manualLayout>
          <c:xMode val="edge"/>
          <c:yMode val="edge"/>
          <c:x val="0.80141644794400679"/>
          <c:y val="6.9060586176727903E-2"/>
          <c:w val="0.18469466316710406"/>
          <c:h val="0.45910104986876599"/>
        </c:manualLayout>
      </c:layout>
      <c:overlay val="0"/>
      <c:txPr>
        <a:bodyPr/>
        <a:lstStyle/>
        <a:p>
          <a:pPr>
            <a:defRPr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solidFill>
        <a:schemeClr val="tx1"/>
      </a:solid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Prostate!$A$18</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Prostate!$B$1:$G$1</c:f>
              <c:numCache>
                <c:formatCode>General</c:formatCode>
                <c:ptCount val="6"/>
                <c:pt idx="0">
                  <c:v>2012</c:v>
                </c:pt>
                <c:pt idx="1">
                  <c:v>2013</c:v>
                </c:pt>
                <c:pt idx="2">
                  <c:v>2014</c:v>
                </c:pt>
                <c:pt idx="3">
                  <c:v>2015</c:v>
                </c:pt>
                <c:pt idx="4">
                  <c:v>2016</c:v>
                </c:pt>
                <c:pt idx="5">
                  <c:v>2017</c:v>
                </c:pt>
              </c:numCache>
            </c:numRef>
          </c:cat>
          <c:val>
            <c:numRef>
              <c:f>Prostate!$B$18:$G$18</c:f>
              <c:numCache>
                <c:formatCode>General</c:formatCode>
                <c:ptCount val="6"/>
                <c:pt idx="0">
                  <c:v>80</c:v>
                </c:pt>
                <c:pt idx="1">
                  <c:v>83</c:v>
                </c:pt>
                <c:pt idx="2">
                  <c:v>64</c:v>
                </c:pt>
                <c:pt idx="3">
                  <c:v>41</c:v>
                </c:pt>
                <c:pt idx="4">
                  <c:v>23</c:v>
                </c:pt>
                <c:pt idx="5">
                  <c:v>7</c:v>
                </c:pt>
              </c:numCache>
            </c:numRef>
          </c:val>
          <c:smooth val="0"/>
          <c:extLst>
            <c:ext xmlns:c16="http://schemas.microsoft.com/office/drawing/2014/chart" uri="{C3380CC4-5D6E-409C-BE32-E72D297353CC}">
              <c16:uniqueId val="{00000000-5DB7-4D55-85E5-8021F71EE0E6}"/>
            </c:ext>
          </c:extLst>
        </c:ser>
        <c:ser>
          <c:idx val="1"/>
          <c:order val="1"/>
          <c:tx>
            <c:strRef>
              <c:f>Prostate!$A$19</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Prostate!$B$1:$G$1</c:f>
              <c:numCache>
                <c:formatCode>General</c:formatCode>
                <c:ptCount val="6"/>
                <c:pt idx="0">
                  <c:v>2012</c:v>
                </c:pt>
                <c:pt idx="1">
                  <c:v>2013</c:v>
                </c:pt>
                <c:pt idx="2">
                  <c:v>2014</c:v>
                </c:pt>
                <c:pt idx="3">
                  <c:v>2015</c:v>
                </c:pt>
                <c:pt idx="4">
                  <c:v>2016</c:v>
                </c:pt>
                <c:pt idx="5">
                  <c:v>2017</c:v>
                </c:pt>
              </c:numCache>
            </c:numRef>
          </c:cat>
          <c:val>
            <c:numRef>
              <c:f>Prostate!$B$19:$G$19</c:f>
              <c:numCache>
                <c:formatCode>General</c:formatCode>
                <c:ptCount val="6"/>
                <c:pt idx="0">
                  <c:v>71</c:v>
                </c:pt>
                <c:pt idx="1">
                  <c:v>180</c:v>
                </c:pt>
                <c:pt idx="2">
                  <c:v>249</c:v>
                </c:pt>
                <c:pt idx="3">
                  <c:v>314</c:v>
                </c:pt>
                <c:pt idx="4">
                  <c:v>375</c:v>
                </c:pt>
                <c:pt idx="5">
                  <c:v>535</c:v>
                </c:pt>
              </c:numCache>
            </c:numRef>
          </c:val>
          <c:smooth val="0"/>
          <c:extLst>
            <c:ext xmlns:c16="http://schemas.microsoft.com/office/drawing/2014/chart" uri="{C3380CC4-5D6E-409C-BE32-E72D297353CC}">
              <c16:uniqueId val="{00000001-5DB7-4D55-85E5-8021F71EE0E6}"/>
            </c:ext>
          </c:extLst>
        </c:ser>
        <c:dLbls>
          <c:showLegendKey val="0"/>
          <c:showVal val="0"/>
          <c:showCatName val="0"/>
          <c:showSerName val="0"/>
          <c:showPercent val="0"/>
          <c:showBubbleSize val="0"/>
        </c:dLbls>
        <c:marker val="1"/>
        <c:smooth val="0"/>
        <c:axId val="256803776"/>
        <c:axId val="354679456"/>
      </c:lineChart>
      <c:catAx>
        <c:axId val="2568037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6222544853813913"/>
              <c:y val="0.82601323099596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54679456"/>
        <c:crosses val="autoZero"/>
        <c:auto val="1"/>
        <c:lblAlgn val="ctr"/>
        <c:lblOffset val="100"/>
        <c:noMultiLvlLbl val="0"/>
      </c:catAx>
      <c:valAx>
        <c:axId val="354679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prostate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6803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Bladder!$A$18</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Bladder!$B$1:$G$1</c:f>
              <c:numCache>
                <c:formatCode>General</c:formatCode>
                <c:ptCount val="6"/>
                <c:pt idx="0">
                  <c:v>2012</c:v>
                </c:pt>
                <c:pt idx="1">
                  <c:v>2013</c:v>
                </c:pt>
                <c:pt idx="2">
                  <c:v>2014</c:v>
                </c:pt>
                <c:pt idx="3">
                  <c:v>2015</c:v>
                </c:pt>
                <c:pt idx="4">
                  <c:v>2016</c:v>
                </c:pt>
                <c:pt idx="5">
                  <c:v>2017</c:v>
                </c:pt>
              </c:numCache>
            </c:numRef>
          </c:cat>
          <c:val>
            <c:numRef>
              <c:f>Bladder!$B$18:$G$18</c:f>
              <c:numCache>
                <c:formatCode>General</c:formatCode>
                <c:ptCount val="6"/>
                <c:pt idx="0">
                  <c:v>18</c:v>
                </c:pt>
                <c:pt idx="1">
                  <c:v>16</c:v>
                </c:pt>
                <c:pt idx="2">
                  <c:v>10</c:v>
                </c:pt>
                <c:pt idx="3">
                  <c:v>14</c:v>
                </c:pt>
                <c:pt idx="4">
                  <c:v>0</c:v>
                </c:pt>
                <c:pt idx="5">
                  <c:v>0</c:v>
                </c:pt>
              </c:numCache>
            </c:numRef>
          </c:val>
          <c:smooth val="0"/>
          <c:extLst>
            <c:ext xmlns:c16="http://schemas.microsoft.com/office/drawing/2014/chart" uri="{C3380CC4-5D6E-409C-BE32-E72D297353CC}">
              <c16:uniqueId val="{00000000-71B3-431D-9836-7C4A2B5B8689}"/>
            </c:ext>
          </c:extLst>
        </c:ser>
        <c:ser>
          <c:idx val="1"/>
          <c:order val="1"/>
          <c:tx>
            <c:strRef>
              <c:f>Bladder!$A$19</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Bladder!$B$1:$G$1</c:f>
              <c:numCache>
                <c:formatCode>General</c:formatCode>
                <c:ptCount val="6"/>
                <c:pt idx="0">
                  <c:v>2012</c:v>
                </c:pt>
                <c:pt idx="1">
                  <c:v>2013</c:v>
                </c:pt>
                <c:pt idx="2">
                  <c:v>2014</c:v>
                </c:pt>
                <c:pt idx="3">
                  <c:v>2015</c:v>
                </c:pt>
                <c:pt idx="4">
                  <c:v>2016</c:v>
                </c:pt>
                <c:pt idx="5">
                  <c:v>2017</c:v>
                </c:pt>
              </c:numCache>
            </c:numRef>
          </c:cat>
          <c:val>
            <c:numRef>
              <c:f>Bladder!$B$19:$G$19</c:f>
              <c:numCache>
                <c:formatCode>General</c:formatCode>
                <c:ptCount val="6"/>
                <c:pt idx="0">
                  <c:v>16</c:v>
                </c:pt>
                <c:pt idx="1">
                  <c:v>42</c:v>
                </c:pt>
                <c:pt idx="2">
                  <c:v>50</c:v>
                </c:pt>
                <c:pt idx="3">
                  <c:v>63</c:v>
                </c:pt>
                <c:pt idx="4">
                  <c:v>86</c:v>
                </c:pt>
                <c:pt idx="5">
                  <c:v>87</c:v>
                </c:pt>
              </c:numCache>
            </c:numRef>
          </c:val>
          <c:smooth val="0"/>
          <c:extLst>
            <c:ext xmlns:c16="http://schemas.microsoft.com/office/drawing/2014/chart" uri="{C3380CC4-5D6E-409C-BE32-E72D297353CC}">
              <c16:uniqueId val="{00000001-71B3-431D-9836-7C4A2B5B8689}"/>
            </c:ext>
          </c:extLst>
        </c:ser>
        <c:dLbls>
          <c:showLegendKey val="0"/>
          <c:showVal val="0"/>
          <c:showCatName val="0"/>
          <c:showSerName val="0"/>
          <c:showPercent val="0"/>
          <c:showBubbleSize val="0"/>
        </c:dLbls>
        <c:marker val="1"/>
        <c:smooth val="0"/>
        <c:axId val="344305408"/>
        <c:axId val="344303728"/>
      </c:lineChart>
      <c:catAx>
        <c:axId val="3443054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8137736207631582"/>
              <c:y val="0.8307532313177833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4303728"/>
        <c:crosses val="autoZero"/>
        <c:auto val="1"/>
        <c:lblAlgn val="ctr"/>
        <c:lblOffset val="100"/>
        <c:noMultiLvlLbl val="0"/>
      </c:catAx>
      <c:valAx>
        <c:axId val="34430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bladder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430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Renal!$A$19</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Renal!$B$1:$G$1</c:f>
              <c:numCache>
                <c:formatCode>General</c:formatCode>
                <c:ptCount val="6"/>
                <c:pt idx="0">
                  <c:v>2012</c:v>
                </c:pt>
                <c:pt idx="1">
                  <c:v>2013</c:v>
                </c:pt>
                <c:pt idx="2">
                  <c:v>2014</c:v>
                </c:pt>
                <c:pt idx="3">
                  <c:v>2015</c:v>
                </c:pt>
                <c:pt idx="4">
                  <c:v>2016</c:v>
                </c:pt>
                <c:pt idx="5">
                  <c:v>2017</c:v>
                </c:pt>
              </c:numCache>
            </c:numRef>
          </c:cat>
          <c:val>
            <c:numRef>
              <c:f>Renal!$B$19:$G$19</c:f>
              <c:numCache>
                <c:formatCode>General</c:formatCode>
                <c:ptCount val="6"/>
                <c:pt idx="0">
                  <c:v>158</c:v>
                </c:pt>
                <c:pt idx="1">
                  <c:v>146</c:v>
                </c:pt>
                <c:pt idx="2">
                  <c:v>121</c:v>
                </c:pt>
                <c:pt idx="3">
                  <c:v>85</c:v>
                </c:pt>
                <c:pt idx="4">
                  <c:v>46</c:v>
                </c:pt>
                <c:pt idx="5">
                  <c:v>14</c:v>
                </c:pt>
              </c:numCache>
            </c:numRef>
          </c:val>
          <c:smooth val="0"/>
          <c:extLst>
            <c:ext xmlns:c16="http://schemas.microsoft.com/office/drawing/2014/chart" uri="{C3380CC4-5D6E-409C-BE32-E72D297353CC}">
              <c16:uniqueId val="{00000000-0587-479B-87C5-EFDE3886630A}"/>
            </c:ext>
          </c:extLst>
        </c:ser>
        <c:ser>
          <c:idx val="1"/>
          <c:order val="1"/>
          <c:tx>
            <c:strRef>
              <c:f>Renal!$A$20</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Renal!$B$1:$G$1</c:f>
              <c:numCache>
                <c:formatCode>General</c:formatCode>
                <c:ptCount val="6"/>
                <c:pt idx="0">
                  <c:v>2012</c:v>
                </c:pt>
                <c:pt idx="1">
                  <c:v>2013</c:v>
                </c:pt>
                <c:pt idx="2">
                  <c:v>2014</c:v>
                </c:pt>
                <c:pt idx="3">
                  <c:v>2015</c:v>
                </c:pt>
                <c:pt idx="4">
                  <c:v>2016</c:v>
                </c:pt>
                <c:pt idx="5">
                  <c:v>2017</c:v>
                </c:pt>
              </c:numCache>
            </c:numRef>
          </c:cat>
          <c:val>
            <c:numRef>
              <c:f>Renal!$B$20:$G$20</c:f>
              <c:numCache>
                <c:formatCode>General</c:formatCode>
                <c:ptCount val="6"/>
                <c:pt idx="0">
                  <c:v>31</c:v>
                </c:pt>
                <c:pt idx="1">
                  <c:v>113</c:v>
                </c:pt>
                <c:pt idx="2">
                  <c:v>128</c:v>
                </c:pt>
                <c:pt idx="3">
                  <c:v>170</c:v>
                </c:pt>
                <c:pt idx="4">
                  <c:v>251</c:v>
                </c:pt>
                <c:pt idx="5">
                  <c:v>292</c:v>
                </c:pt>
              </c:numCache>
            </c:numRef>
          </c:val>
          <c:smooth val="0"/>
          <c:extLst>
            <c:ext xmlns:c16="http://schemas.microsoft.com/office/drawing/2014/chart" uri="{C3380CC4-5D6E-409C-BE32-E72D297353CC}">
              <c16:uniqueId val="{00000001-0587-479B-87C5-EFDE3886630A}"/>
            </c:ext>
          </c:extLst>
        </c:ser>
        <c:dLbls>
          <c:showLegendKey val="0"/>
          <c:showVal val="0"/>
          <c:showCatName val="0"/>
          <c:showSerName val="0"/>
          <c:showPercent val="0"/>
          <c:showBubbleSize val="0"/>
        </c:dLbls>
        <c:marker val="1"/>
        <c:smooth val="0"/>
        <c:axId val="409774368"/>
        <c:axId val="409774928"/>
      </c:lineChart>
      <c:catAx>
        <c:axId val="4097743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5156663636223554"/>
              <c:y val="0.828714833052879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774928"/>
        <c:crosses val="autoZero"/>
        <c:auto val="1"/>
        <c:lblAlgn val="ctr"/>
        <c:lblOffset val="100"/>
        <c:noMultiLvlLbl val="0"/>
      </c:catAx>
      <c:valAx>
        <c:axId val="409774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renal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774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OG!$A$20</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OG!$B$1:$G$1</c:f>
              <c:numCache>
                <c:formatCode>General</c:formatCode>
                <c:ptCount val="6"/>
                <c:pt idx="0">
                  <c:v>2012</c:v>
                </c:pt>
                <c:pt idx="1">
                  <c:v>2013</c:v>
                </c:pt>
                <c:pt idx="2">
                  <c:v>2014</c:v>
                </c:pt>
                <c:pt idx="3">
                  <c:v>2015</c:v>
                </c:pt>
                <c:pt idx="4">
                  <c:v>2016</c:v>
                </c:pt>
                <c:pt idx="5">
                  <c:v>2017</c:v>
                </c:pt>
              </c:numCache>
            </c:numRef>
          </c:cat>
          <c:val>
            <c:numRef>
              <c:f>OG!$B$20:$G$20</c:f>
              <c:numCache>
                <c:formatCode>General</c:formatCode>
                <c:ptCount val="6"/>
                <c:pt idx="0">
                  <c:v>17</c:v>
                </c:pt>
                <c:pt idx="1">
                  <c:v>26</c:v>
                </c:pt>
                <c:pt idx="2">
                  <c:v>21</c:v>
                </c:pt>
                <c:pt idx="3">
                  <c:v>30</c:v>
                </c:pt>
                <c:pt idx="4">
                  <c:v>6</c:v>
                </c:pt>
                <c:pt idx="5">
                  <c:v>3</c:v>
                </c:pt>
              </c:numCache>
            </c:numRef>
          </c:val>
          <c:smooth val="0"/>
          <c:extLst>
            <c:ext xmlns:c16="http://schemas.microsoft.com/office/drawing/2014/chart" uri="{C3380CC4-5D6E-409C-BE32-E72D297353CC}">
              <c16:uniqueId val="{00000000-C9B8-4145-89C1-CF56C8ABF05A}"/>
            </c:ext>
          </c:extLst>
        </c:ser>
        <c:ser>
          <c:idx val="1"/>
          <c:order val="1"/>
          <c:tx>
            <c:strRef>
              <c:f>OG!$A$21</c:f>
              <c:strCache>
                <c:ptCount val="1"/>
                <c:pt idx="0">
                  <c:v>Specialist centres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OG!$B$1:$G$1</c:f>
              <c:numCache>
                <c:formatCode>General</c:formatCode>
                <c:ptCount val="6"/>
                <c:pt idx="0">
                  <c:v>2012</c:v>
                </c:pt>
                <c:pt idx="1">
                  <c:v>2013</c:v>
                </c:pt>
                <c:pt idx="2">
                  <c:v>2014</c:v>
                </c:pt>
                <c:pt idx="3">
                  <c:v>2015</c:v>
                </c:pt>
                <c:pt idx="4">
                  <c:v>2016</c:v>
                </c:pt>
                <c:pt idx="5">
                  <c:v>2017</c:v>
                </c:pt>
              </c:numCache>
            </c:numRef>
          </c:cat>
          <c:val>
            <c:numRef>
              <c:f>OG!$B$21:$G$21</c:f>
              <c:numCache>
                <c:formatCode>General</c:formatCode>
                <c:ptCount val="6"/>
                <c:pt idx="0">
                  <c:v>23</c:v>
                </c:pt>
                <c:pt idx="1">
                  <c:v>61</c:v>
                </c:pt>
                <c:pt idx="2">
                  <c:v>70</c:v>
                </c:pt>
                <c:pt idx="3">
                  <c:v>66</c:v>
                </c:pt>
                <c:pt idx="4">
                  <c:v>86</c:v>
                </c:pt>
                <c:pt idx="5">
                  <c:v>70</c:v>
                </c:pt>
              </c:numCache>
            </c:numRef>
          </c:val>
          <c:smooth val="0"/>
          <c:extLst>
            <c:ext xmlns:c16="http://schemas.microsoft.com/office/drawing/2014/chart" uri="{C3380CC4-5D6E-409C-BE32-E72D297353CC}">
              <c16:uniqueId val="{00000001-C9B8-4145-89C1-CF56C8ABF05A}"/>
            </c:ext>
          </c:extLst>
        </c:ser>
        <c:dLbls>
          <c:showLegendKey val="0"/>
          <c:showVal val="0"/>
          <c:showCatName val="0"/>
          <c:showSerName val="0"/>
          <c:showPercent val="0"/>
          <c:showBubbleSize val="0"/>
        </c:dLbls>
        <c:marker val="1"/>
        <c:smooth val="0"/>
        <c:axId val="414060688"/>
        <c:axId val="414061248"/>
      </c:lineChart>
      <c:catAx>
        <c:axId val="4140606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736013369422572"/>
              <c:y val="0.8223675457278772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4061248"/>
        <c:crosses val="autoZero"/>
        <c:auto val="1"/>
        <c:lblAlgn val="ctr"/>
        <c:lblOffset val="100"/>
        <c:noMultiLvlLbl val="0"/>
      </c:catAx>
      <c:valAx>
        <c:axId val="414061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OG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4060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Cla20</b:Tag>
    <b:SourceType>Misc</b:SourceType>
    <b:Guid>{A1095FEB-54CC-4998-ACA7-A943E1346776}</b:Guid>
    <b:Title>Personal communication based on STAMPEDE patient-level data in control arm (recruited 2011-2014)</b:Title>
    <b:Year>2020</b:Year>
    <b:Author>
      <b:Author>
        <b:NameList>
          <b:Person>
            <b:Last>Clarke</b:Last>
            <b:Middle>S</b:Middle>
            <b:First>Caroline</b:First>
          </b:Person>
        </b:NameList>
      </b:Author>
    </b:Author>
    <b:RefOrder>9</b:RefOrder>
  </b:Source>
  <b:Source>
    <b:Tag>Sut18</b:Tag>
    <b:SourceType>JournalArticle</b:SourceType>
    <b:Guid>{1406D669-693E-483A-AFA1-F555EB881550}</b:Guid>
    <b:Title>An early analysis of the cost-effectiveness of a diagnostic classifier for risk stratification of haematuria patients (DCRSHP) compared to flexible cystoscopy in the diagnosis of bladder cancer</b:Title>
    <b:Year>2018</b:Year>
    <b:JournalName>PLoS ONE</b:JournalName>
    <b:Pages>e0202796</b:Pages>
    <b:Volume>13</b:Volume>
    <b:Issue>8</b:Issue>
    <b:Author>
      <b:Author>
        <b:NameList>
          <b:Person>
            <b:Last>Sutton</b:Last>
            <b:Middle>J</b:Middle>
            <b:First>Andrew</b:First>
          </b:Person>
          <b:Person>
            <b:Last>Lamont</b:Last>
            <b:Middle>V</b:Middle>
            <b:First>John</b:First>
          </b:Person>
          <b:Person>
            <b:Last>Evans</b:Last>
            <b:Middle>Mark</b:Middle>
            <b:First>R</b:First>
          </b:Person>
          <b:Person>
            <b:Last>Williamson</b:Last>
            <b:First>Kate</b:First>
          </b:Person>
          <b:Person>
            <b:Last>O'Rourke</b:Last>
            <b:First>Declan</b:First>
          </b:Person>
          <b:Person>
            <b:Last>Duggan</b:Last>
            <b:First>Brian</b:First>
          </b:Person>
          <b:Person>
            <b:Last>Sagoo</b:Last>
            <b:Middle>S</b:Middle>
            <b:First>Gurdeep</b:First>
          </b:Person>
          <b:Person>
            <b:Last>Reid</b:Last>
            <b:Middle>N</b:Middle>
            <b:First>Cherith</b:First>
          </b:Person>
          <b:Person>
            <b:Last>Ruddock</b:Last>
            <b:Middle>W</b:Middle>
            <b:First>Mark</b:First>
          </b:Person>
        </b:NameList>
      </b:Author>
    </b:Author>
    <b:DOI>10.1371/journal.pone.0202796</b:DOI>
    <b:RefOrder>18</b:RefOrder>
  </b:Source>
  <b:Source>
    <b:Tag>Kul07</b:Tag>
    <b:SourceType>JournalArticle</b:SourceType>
    <b:Guid>{13F8F5B1-FB6D-4CC7-9CD3-0CA82CD3F287}</b:Guid>
    <b:Title>Optimal management of high-risk T1G3 bladder cancer: a decision analysis</b:Title>
    <b:JournalName>PLoS Medicine</b:JournalName>
    <b:Year>2007</b:Year>
    <b:Pages>e284</b:Pages>
    <b:Volume>4</b:Volume>
    <b:Issue>9</b:Issue>
    <b:Author>
      <b:Author>
        <b:NameList>
          <b:Person>
            <b:Last>Kulkarni</b:Last>
            <b:Middle>S</b:Middle>
            <b:First>G</b:First>
          </b:Person>
          <b:Person>
            <b:Last>Finelli</b:Last>
            <b:First>A</b:First>
          </b:Person>
          <b:Person>
            <b:Last>Fleshner</b:Last>
            <b:Middle>E</b:Middle>
            <b:First>N</b:First>
          </b:Person>
          <b:Person>
            <b:Last>Jewett</b:Last>
            <b:Middle>A</b:Middle>
            <b:First>M</b:First>
          </b:Person>
          <b:Person>
            <b:Last>Lopushinsky</b:Last>
            <b:Middle>R</b:Middle>
            <b:First>S</b:First>
          </b:Person>
          <b:Person>
            <b:Last>Alibhai</b:Last>
            <b:Middle>M</b:Middle>
            <b:First>S</b:First>
          </b:Person>
        </b:NameList>
      </b:Author>
    </b:Author>
    <b:DOI>10.1371/journal.pmed.0040284</b:DOI>
    <b:RefOrder>19</b:RefOrder>
  </b:Source>
  <b:Source>
    <b:Tag>Nat18</b:Tag>
    <b:SourceType>DocumentFromInternetSite</b:SourceType>
    <b:Guid>{B5AD8BB9-0CFC-441D-A1A4-2A053633C12E}</b:Guid>
    <b:Title>Tivozanib for treating advanced renal cell carcinoma (NICE Guidance TA512)</b:Title>
    <b:Year>2018</b:Year>
    <b:Author>
      <b:Author>
        <b:Corporate>National Institute for Health and Care Excellence</b:Corporate>
      </b:Author>
    </b:Author>
    <b:Month>March</b:Month>
    <b:URL>www.nice.org.uk/guidance/ta512</b:URL>
    <b:RefOrder>20</b:RefOrder>
  </b:Source>
  <b:Source>
    <b:Tag>Nat181</b:Tag>
    <b:SourceType>DocumentFromInternetSite</b:SourceType>
    <b:Guid>{0BC6BE2F-CA9D-4588-BD80-6C1B5805FF52}</b:Guid>
    <b:Author>
      <b:Author>
        <b:Corporate>National Institute for Health and Care Excellence</b:Corporate>
      </b:Author>
    </b:Author>
    <b:Title>Lenvatinib with everolimus for previously treated advanced renal cell carcinoma (NICE Guidance TA498)</b:Title>
    <b:Year>2018</b:Year>
    <b:Month>January</b:Month>
    <b:URL>www.nice.org.uk/guidance/ta498</b:URL>
    <b:RefOrder>21</b:RefOrder>
  </b:Source>
  <b:Source>
    <b:Tag>Nat17</b:Tag>
    <b:SourceType>DocumentFromInternetSite</b:SourceType>
    <b:Guid>{4884C376-D2CA-46C1-98D9-A57044F96108}</b:Guid>
    <b:Author>
      <b:Author>
        <b:Corporate>National Institute for Health and Care Excellence</b:Corporate>
      </b:Author>
    </b:Author>
    <b:Title>Everolimus for advanced renal cell carcinoma after previous treatment (NICE Guidance TA432)</b:Title>
    <b:Year>2017</b:Year>
    <b:Month>February</b:Month>
    <b:URL>www.nice.org.uk/guidance/ta432</b:URL>
    <b:RefOrder>22</b:RefOrder>
  </b:Source>
  <b:Source>
    <b:Tag>Nat16</b:Tag>
    <b:SourceType>DocumentFromInternetSite</b:SourceType>
    <b:Guid>{3946DAE0-0FB8-4FE6-9EF7-1FDD8F8D55B4}</b:Guid>
    <b:Author>
      <b:Author>
        <b:Corporate>National Institute for Health and Care Excellence</b:Corporate>
      </b:Author>
    </b:Author>
    <b:Title>Nivolumab for previously treated advanced renal cell carcinoma (NICE Guidance TA417)</b:Title>
    <b:Year>2016</b:Year>
    <b:Month>November</b:Month>
    <b:URL>www.nice.org.uk/guidance/ta417</b:URL>
    <b:RefOrder>23</b:RefOrder>
  </b:Source>
  <b:Source>
    <b:Tag>Lee13</b:Tag>
    <b:SourceType>JournalArticle</b:SourceType>
    <b:Guid>{A5FD962C-EC5C-4942-8765-945F78804CF4}</b:Guid>
    <b:Title>Cost-Effectiveness of Minimally Invasive Versus Open Esophagectomy for Esophageal Cancer</b:Title>
    <b:Year>2013</b:Year>
    <b:JournalName>Annals of Surgical Oncology</b:JournalName>
    <b:Pages>3732-3739</b:Pages>
    <b:Volume>20</b:Volume>
    <b:Author>
      <b:Author>
        <b:NameList>
          <b:Person>
            <b:Last>Lee</b:Last>
            <b:First>Lawrence</b:First>
          </b:Person>
          <b:Person>
            <b:Last>Sudarshan</b:Last>
            <b:First>Monisha</b:First>
          </b:Person>
          <b:Person>
            <b:Last>Li</b:Last>
            <b:First>Chao</b:First>
          </b:Person>
          <b:Person>
            <b:Last>Latimer</b:Last>
            <b:First>Eric</b:First>
          </b:Person>
          <b:Person>
            <b:Last>Fried</b:Last>
            <b:Middle>M</b:Middle>
            <b:First>Gerald</b:First>
          </b:Person>
          <b:Person>
            <b:Last>Mulder</b:Last>
            <b:Middle>S</b:Middle>
            <b:First>David</b:First>
          </b:Person>
          <b:Person>
            <b:Last>Feldman</b:Last>
            <b:Middle>S</b:Middle>
            <b:First>Liane</b:First>
          </b:Person>
          <b:Person>
            <b:Last>Ferri</b:Last>
            <b:Middle>E</b:Middle>
            <b:First>Lorenzo</b:First>
          </b:Person>
        </b:NameList>
      </b:Author>
    </b:Author>
    <b:DOI>10.1245/s10434-013-3103-6</b:DOI>
    <b:RefOrder>24</b:RefOrder>
  </b:Source>
  <b:Source>
    <b:Tag>Gra07</b:Tag>
    <b:SourceType>JournalArticle</b:SourceType>
    <b:Guid>{3288986E-C72F-467D-A253-6ABB37928EF7}</b:Guid>
    <b:Title>Defining the Optimal Treatment of Locally Advanced Esophageal Cancer: A Systematic Review and Decision Analysis</b:Title>
    <b:JournalName>Annals of Thoracic Surgery</b:JournalName>
    <b:Year>2007</b:Year>
    <b:Pages>1257-1264</b:Pages>
    <b:Volume>83</b:Volume>
    <b:Issue>4</b:Issue>
    <b:DOI>10.1016/j.athoracsur.2006.11.061</b:DOI>
    <b:Author>
      <b:Author>
        <b:NameList>
          <b:Person>
            <b:Last>Graham</b:Last>
            <b:Middle>J</b:Middle>
            <b:First>Andrew</b:First>
          </b:Person>
          <b:Person>
            <b:Last>Shrive</b:Last>
            <b:Middle>M</b:Middle>
            <b:First>Fiona</b:First>
          </b:Person>
          <b:Person>
            <b:Last>Ghali</b:Last>
            <b:Middle>A</b:Middle>
            <b:First>William</b:First>
          </b:Person>
          <b:Person>
            <b:Last>Manns</b:Last>
            <b:Middle>J</b:Middle>
            <b:First>Braden</b:First>
          </b:Person>
          <b:Person>
            <b:Last>Grondin</b:Last>
            <b:Middle>C</b:Middle>
            <b:First>Sean</b:First>
          </b:Person>
          <b:Person>
            <b:Last>Finley</b:Last>
            <b:Middle>J</b:Middle>
            <b:First>Richard</b:First>
          </b:Person>
          <b:Person>
            <b:Last>Clifton</b:Last>
            <b:First>Joanne</b:First>
          </b:Person>
        </b:NameList>
      </b:Author>
    </b:Author>
    <b:RefOrder>25</b:RefOrder>
  </b:Source>
  <b:Source>
    <b:Tag>Nat182</b:Tag>
    <b:SourceType>DocumentFromInternetSite</b:SourceType>
    <b:Guid>{65E442A7-6EE3-4835-802C-00203397615A}</b:Guid>
    <b:Title>Oesophago-gastric cancer: assessment and management in adults (NICE Guideline NG83)</b:Title>
    <b:Year>2018</b:Year>
    <b:Author>
      <b:Author>
        <b:Corporate>National Institute for Health and Care Excellence</b:Corporate>
      </b:Author>
    </b:Author>
    <b:Month>January</b:Month>
    <b:URL>www.nice.org.uk/guidance/ng83</b:URL>
    <b:RefOrder>26</b:RefOrder>
  </b:Source>
  <b:Source>
    <b:Tag>Nat171</b:Tag>
    <b:SourceType>DocumentFromInternetSite</b:SourceType>
    <b:Guid>{498739E8-8CE5-4A6F-9580-BA9D8B910AD4}</b:Guid>
    <b:Author>
      <b:Author>
        <b:Corporate>National Institute for Health and Care Excellence</b:Corporate>
      </b:Author>
    </b:Author>
    <b:Title>Regorafenib for previously treated unresectable or metastatic gastrointestinal stromal tumours (NICE Guideline TA488)</b:Title>
    <b:Year>2017</b:Year>
    <b:Month>November</b:Month>
    <b:URL>www.nice.org.uk/guidance/ta488</b:URL>
    <b:RefOrder>27</b:RefOrder>
  </b:Source>
  <b:Source>
    <b:Tag>Nat10</b:Tag>
    <b:SourceType>DocumentFromInternetSite</b:SourceType>
    <b:Guid>{674CE5B0-803C-4978-8CCD-EB25EC2989D9}</b:Guid>
    <b:Author>
      <b:Author>
        <b:Corporate>National Institute for Health and Care Excellence</b:Corporate>
      </b:Author>
    </b:Author>
    <b:Title>Trastuzumab for the treatment of HER2-positive metastatic gastric cancer (NICE Guideline TA208)</b:Title>
    <b:Year>2010</b:Year>
    <b:Month>November</b:Month>
    <b:URL>www.nice.org.uk/guidance/ta208</b:URL>
    <b:RefOrder>28</b:RefOrder>
  </b:Source>
  <b:Source>
    <b:Tag>Nat09</b:Tag>
    <b:SourceType>DocumentFromInternetSite</b:SourceType>
    <b:Guid>{9BBDE627-5AE8-4F58-80FC-37D235F2E9DE}</b:Guid>
    <b:Author>
      <b:Author>
        <b:Corporate>National Institute for Health and Care Excellence</b:Corporate>
      </b:Author>
    </b:Author>
    <b:Title>Sunitinib for the treatment of gastrointestinal stromal tumours (NICE Guideline TA179)</b:Title>
    <b:Year>2009</b:Year>
    <b:Month>September</b:Month>
    <b:URL>www.nice.org.uk/guidance/ta179</b:URL>
    <b:RefOrder>29</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27735A7945DE046B624D4F84AA72205" ma:contentTypeVersion="13" ma:contentTypeDescription="Create a new document." ma:contentTypeScope="" ma:versionID="65781bc916741fedde28f4a8ff0fa149">
  <xsd:schema xmlns:xsd="http://www.w3.org/2001/XMLSchema" xmlns:xs="http://www.w3.org/2001/XMLSchema" xmlns:p="http://schemas.microsoft.com/office/2006/metadata/properties" xmlns:ns2="74401f76-0057-4106-a8b5-1166e7ce87b4" xmlns:ns3="ed8d1c9c-6188-4667-8b32-406910164ae5" targetNamespace="http://schemas.microsoft.com/office/2006/metadata/properties" ma:root="true" ma:fieldsID="708fecdadafd505c35f67804b73d828c" ns2:_="" ns3:_="">
    <xsd:import namespace="74401f76-0057-4106-a8b5-1166e7ce87b4"/>
    <xsd:import namespace="ed8d1c9c-6188-4667-8b32-406910164ae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401f76-0057-4106-a8b5-1166e7ce87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d8d1c9c-6188-4667-8b32-406910164ae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16FAF7-9A54-45C8-A71E-9006E9ADCD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E419380-B656-421A-8A45-CBD23752C647}">
  <ds:schemaRefs>
    <ds:schemaRef ds:uri="http://schemas.openxmlformats.org/officeDocument/2006/bibliography"/>
  </ds:schemaRefs>
</ds:datastoreItem>
</file>

<file path=customXml/itemProps3.xml><?xml version="1.0" encoding="utf-8"?>
<ds:datastoreItem xmlns:ds="http://schemas.openxmlformats.org/officeDocument/2006/customXml" ds:itemID="{22B14814-18EF-4006-8597-A4F08BA00004}">
  <ds:schemaRefs>
    <ds:schemaRef ds:uri="http://schemas.microsoft.com/sharepoint/v3/contenttype/forms"/>
  </ds:schemaRefs>
</ds:datastoreItem>
</file>

<file path=customXml/itemProps4.xml><?xml version="1.0" encoding="utf-8"?>
<ds:datastoreItem xmlns:ds="http://schemas.openxmlformats.org/officeDocument/2006/customXml" ds:itemID="{ED3389A2-1335-4AE7-A949-05DD834AA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401f76-0057-4106-a8b5-1166e7ce87b4"/>
    <ds:schemaRef ds:uri="ed8d1c9c-6188-4667-8b32-406910164a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34</Pages>
  <Words>826</Words>
  <Characters>4709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University College London</Company>
  <LinksUpToDate>false</LinksUpToDate>
  <CharactersWithSpaces>5524</CharactersWithSpaces>
  <SharedDoc>false</SharedDoc>
  <HLinks>
    <vt:vector size="2124" baseType="variant">
      <vt:variant>
        <vt:i4>2818121</vt:i4>
      </vt:variant>
      <vt:variant>
        <vt:i4>2433</vt:i4>
      </vt:variant>
      <vt:variant>
        <vt:i4>0</vt:i4>
      </vt:variant>
      <vt:variant>
        <vt:i4>5</vt:i4>
      </vt:variant>
      <vt:variant>
        <vt:lpwstr>\\ad.ucl.ac.uk\GroupFolders\FPHS_DAHR_RESPECT_21\Reports\Final Report\Preparing for proofing\www.nice.org.uk\guidance\ta179</vt:lpwstr>
      </vt:variant>
      <vt:variant>
        <vt:lpwstr/>
      </vt:variant>
      <vt:variant>
        <vt:i4>2883658</vt:i4>
      </vt:variant>
      <vt:variant>
        <vt:i4>2430</vt:i4>
      </vt:variant>
      <vt:variant>
        <vt:i4>0</vt:i4>
      </vt:variant>
      <vt:variant>
        <vt:i4>5</vt:i4>
      </vt:variant>
      <vt:variant>
        <vt:lpwstr>\\ad.ucl.ac.uk\GroupFolders\FPHS_DAHR_RESPECT_21\Reports\Final Report\Preparing for proofing\www.nice.org.uk\guidance\ta208</vt:lpwstr>
      </vt:variant>
      <vt:variant>
        <vt:lpwstr/>
      </vt:variant>
      <vt:variant>
        <vt:i4>2359372</vt:i4>
      </vt:variant>
      <vt:variant>
        <vt:i4>2427</vt:i4>
      </vt:variant>
      <vt:variant>
        <vt:i4>0</vt:i4>
      </vt:variant>
      <vt:variant>
        <vt:i4>5</vt:i4>
      </vt:variant>
      <vt:variant>
        <vt:lpwstr>\\ad.ucl.ac.uk\GroupFolders\FPHS_DAHR_RESPECT_21\Reports\Final Report\Preparing for proofing\www.nice.org.uk\guidance\ta488</vt:lpwstr>
      </vt:variant>
      <vt:variant>
        <vt:lpwstr/>
      </vt:variant>
      <vt:variant>
        <vt:i4>5963866</vt:i4>
      </vt:variant>
      <vt:variant>
        <vt:i4>2424</vt:i4>
      </vt:variant>
      <vt:variant>
        <vt:i4>0</vt:i4>
      </vt:variant>
      <vt:variant>
        <vt:i4>5</vt:i4>
      </vt:variant>
      <vt:variant>
        <vt:lpwstr>https://doi.org/10.1016/j.athoracsur.2006.11.061</vt:lpwstr>
      </vt:variant>
      <vt:variant>
        <vt:lpwstr/>
      </vt:variant>
      <vt:variant>
        <vt:i4>720926</vt:i4>
      </vt:variant>
      <vt:variant>
        <vt:i4>2421</vt:i4>
      </vt:variant>
      <vt:variant>
        <vt:i4>0</vt:i4>
      </vt:variant>
      <vt:variant>
        <vt:i4>5</vt:i4>
      </vt:variant>
      <vt:variant>
        <vt:lpwstr>https://doi.org/10.1245/s10434-013-3103-6</vt:lpwstr>
      </vt:variant>
      <vt:variant>
        <vt:lpwstr/>
      </vt:variant>
      <vt:variant>
        <vt:i4>2949196</vt:i4>
      </vt:variant>
      <vt:variant>
        <vt:i4>2418</vt:i4>
      </vt:variant>
      <vt:variant>
        <vt:i4>0</vt:i4>
      </vt:variant>
      <vt:variant>
        <vt:i4>5</vt:i4>
      </vt:variant>
      <vt:variant>
        <vt:lpwstr>\\ad.ucl.ac.uk\GroupFolders\FPHS_DAHR_RESPECT_21\Reports\Final Report\Preparing for proofing\www.nice.org.uk\guidance\ta417</vt:lpwstr>
      </vt:variant>
      <vt:variant>
        <vt:lpwstr/>
      </vt:variant>
      <vt:variant>
        <vt:i4>3080268</vt:i4>
      </vt:variant>
      <vt:variant>
        <vt:i4>2415</vt:i4>
      </vt:variant>
      <vt:variant>
        <vt:i4>0</vt:i4>
      </vt:variant>
      <vt:variant>
        <vt:i4>5</vt:i4>
      </vt:variant>
      <vt:variant>
        <vt:lpwstr>\\ad.ucl.ac.uk\GroupFolders\FPHS_DAHR_RESPECT_21\Reports\Final Report\Preparing for proofing\www.nice.org.uk\guidance\ta432</vt:lpwstr>
      </vt:variant>
      <vt:variant>
        <vt:lpwstr/>
      </vt:variant>
      <vt:variant>
        <vt:i4>2424908</vt:i4>
      </vt:variant>
      <vt:variant>
        <vt:i4>2412</vt:i4>
      </vt:variant>
      <vt:variant>
        <vt:i4>0</vt:i4>
      </vt:variant>
      <vt:variant>
        <vt:i4>5</vt:i4>
      </vt:variant>
      <vt:variant>
        <vt:lpwstr>\\ad.ucl.ac.uk\GroupFolders\FPHS_DAHR_RESPECT_21\Reports\Final Report\Preparing for proofing\www.nice.org.uk\guidance\ta498</vt:lpwstr>
      </vt:variant>
      <vt:variant>
        <vt:lpwstr/>
      </vt:variant>
      <vt:variant>
        <vt:i4>2949197</vt:i4>
      </vt:variant>
      <vt:variant>
        <vt:i4>2409</vt:i4>
      </vt:variant>
      <vt:variant>
        <vt:i4>0</vt:i4>
      </vt:variant>
      <vt:variant>
        <vt:i4>5</vt:i4>
      </vt:variant>
      <vt:variant>
        <vt:lpwstr>\\ad.ucl.ac.uk\GroupFolders\FPHS_DAHR_RESPECT_21\Reports\Final Report\Preparing for proofing\www.nice.org.uk\guidance\ta512</vt:lpwstr>
      </vt:variant>
      <vt:variant>
        <vt:lpwstr/>
      </vt:variant>
      <vt:variant>
        <vt:i4>5046342</vt:i4>
      </vt:variant>
      <vt:variant>
        <vt:i4>2406</vt:i4>
      </vt:variant>
      <vt:variant>
        <vt:i4>0</vt:i4>
      </vt:variant>
      <vt:variant>
        <vt:i4>5</vt:i4>
      </vt:variant>
      <vt:variant>
        <vt:lpwstr>https://doi.org/10.1371/journal.pmed.0040284</vt:lpwstr>
      </vt:variant>
      <vt:variant>
        <vt:lpwstr/>
      </vt:variant>
      <vt:variant>
        <vt:i4>5046348</vt:i4>
      </vt:variant>
      <vt:variant>
        <vt:i4>2403</vt:i4>
      </vt:variant>
      <vt:variant>
        <vt:i4>0</vt:i4>
      </vt:variant>
      <vt:variant>
        <vt:i4>5</vt:i4>
      </vt:variant>
      <vt:variant>
        <vt:lpwstr>https://doi.org/10.1371/journal.pone.0202796</vt:lpwstr>
      </vt:variant>
      <vt:variant>
        <vt:lpwstr/>
      </vt:variant>
      <vt:variant>
        <vt:i4>5832797</vt:i4>
      </vt:variant>
      <vt:variant>
        <vt:i4>2400</vt:i4>
      </vt:variant>
      <vt:variant>
        <vt:i4>0</vt:i4>
      </vt:variant>
      <vt:variant>
        <vt:i4>5</vt:i4>
      </vt:variant>
      <vt:variant>
        <vt:lpwstr>https://www.npca.org.uk/reports/npca-annual-report-2020/</vt:lpwstr>
      </vt:variant>
      <vt:variant>
        <vt:lpwstr/>
      </vt:variant>
      <vt:variant>
        <vt:i4>589908</vt:i4>
      </vt:variant>
      <vt:variant>
        <vt:i4>2397</vt:i4>
      </vt:variant>
      <vt:variant>
        <vt:i4>0</vt:i4>
      </vt:variant>
      <vt:variant>
        <vt:i4>5</vt:i4>
      </vt:variant>
      <vt:variant>
        <vt:lpwstr>https://doi.org/10.1108/JHOM-01-2012-0004</vt:lpwstr>
      </vt:variant>
      <vt:variant>
        <vt:lpwstr/>
      </vt:variant>
      <vt:variant>
        <vt:i4>3080296</vt:i4>
      </vt:variant>
      <vt:variant>
        <vt:i4>2394</vt:i4>
      </vt:variant>
      <vt:variant>
        <vt:i4>0</vt:i4>
      </vt:variant>
      <vt:variant>
        <vt:i4>5</vt:i4>
      </vt:variant>
      <vt:variant>
        <vt:lpwstr>https://doi.org/10.1016/j.socscimed.2011.09.021</vt:lpwstr>
      </vt:variant>
      <vt:variant>
        <vt:lpwstr/>
      </vt:variant>
      <vt:variant>
        <vt:i4>5767249</vt:i4>
      </vt:variant>
      <vt:variant>
        <vt:i4>2391</vt:i4>
      </vt:variant>
      <vt:variant>
        <vt:i4>0</vt:i4>
      </vt:variant>
      <vt:variant>
        <vt:i4>5</vt:i4>
      </vt:variant>
      <vt:variant>
        <vt:lpwstr>http://dx.doi.org/10.1016/j.socscimed.2011.11.042</vt:lpwstr>
      </vt:variant>
      <vt:variant>
        <vt:lpwstr/>
      </vt:variant>
      <vt:variant>
        <vt:i4>327744</vt:i4>
      </vt:variant>
      <vt:variant>
        <vt:i4>2388</vt:i4>
      </vt:variant>
      <vt:variant>
        <vt:i4>0</vt:i4>
      </vt:variant>
      <vt:variant>
        <vt:i4>5</vt:i4>
      </vt:variant>
      <vt:variant>
        <vt:lpwstr>https://doi.org/10.1080/14719037.2021.1883098</vt:lpwstr>
      </vt:variant>
      <vt:variant>
        <vt:lpwstr/>
      </vt:variant>
      <vt:variant>
        <vt:i4>2621536</vt:i4>
      </vt:variant>
      <vt:variant>
        <vt:i4>2385</vt:i4>
      </vt:variant>
      <vt:variant>
        <vt:i4>0</vt:i4>
      </vt:variant>
      <vt:variant>
        <vt:i4>5</vt:i4>
      </vt:variant>
      <vt:variant>
        <vt:lpwstr>https://doi.org/10.1348/096317902321119574</vt:lpwstr>
      </vt:variant>
      <vt:variant>
        <vt:lpwstr/>
      </vt:variant>
      <vt:variant>
        <vt:i4>1310807</vt:i4>
      </vt:variant>
      <vt:variant>
        <vt:i4>2382</vt:i4>
      </vt:variant>
      <vt:variant>
        <vt:i4>0</vt:i4>
      </vt:variant>
      <vt:variant>
        <vt:i4>5</vt:i4>
      </vt:variant>
      <vt:variant>
        <vt:lpwstr>https://doi.org/10.1080/10810730490271430</vt:lpwstr>
      </vt:variant>
      <vt:variant>
        <vt:lpwstr/>
      </vt:variant>
      <vt:variant>
        <vt:i4>6029402</vt:i4>
      </vt:variant>
      <vt:variant>
        <vt:i4>2379</vt:i4>
      </vt:variant>
      <vt:variant>
        <vt:i4>0</vt:i4>
      </vt:variant>
      <vt:variant>
        <vt:i4>5</vt:i4>
      </vt:variant>
      <vt:variant>
        <vt:lpwstr>https://doi.org/10.1111/j.0887-378X.2004.00325.x</vt:lpwstr>
      </vt:variant>
      <vt:variant>
        <vt:lpwstr/>
      </vt:variant>
      <vt:variant>
        <vt:i4>3801215</vt:i4>
      </vt:variant>
      <vt:variant>
        <vt:i4>2376</vt:i4>
      </vt:variant>
      <vt:variant>
        <vt:i4>0</vt:i4>
      </vt:variant>
      <vt:variant>
        <vt:i4>5</vt:i4>
      </vt:variant>
      <vt:variant>
        <vt:lpwstr>https://doi.org/10.1016/j.healthpol.2019.05.018</vt:lpwstr>
      </vt:variant>
      <vt:variant>
        <vt:lpwstr/>
      </vt:variant>
      <vt:variant>
        <vt:i4>2621549</vt:i4>
      </vt:variant>
      <vt:variant>
        <vt:i4>2373</vt:i4>
      </vt:variant>
      <vt:variant>
        <vt:i4>0</vt:i4>
      </vt:variant>
      <vt:variant>
        <vt:i4>5</vt:i4>
      </vt:variant>
      <vt:variant>
        <vt:lpwstr>https://doi.org/10.1287/orsc.1090.0501</vt:lpwstr>
      </vt:variant>
      <vt:variant>
        <vt:lpwstr/>
      </vt:variant>
      <vt:variant>
        <vt:i4>2097252</vt:i4>
      </vt:variant>
      <vt:variant>
        <vt:i4>2370</vt:i4>
      </vt:variant>
      <vt:variant>
        <vt:i4>0</vt:i4>
      </vt:variant>
      <vt:variant>
        <vt:i4>5</vt:i4>
      </vt:variant>
      <vt:variant>
        <vt:lpwstr>https://doi.org/10.1258/135581907780279657</vt:lpwstr>
      </vt:variant>
      <vt:variant>
        <vt:lpwstr/>
      </vt:variant>
      <vt:variant>
        <vt:i4>5898305</vt:i4>
      </vt:variant>
      <vt:variant>
        <vt:i4>2367</vt:i4>
      </vt:variant>
      <vt:variant>
        <vt:i4>0</vt:i4>
      </vt:variant>
      <vt:variant>
        <vt:i4>5</vt:i4>
      </vt:variant>
      <vt:variant>
        <vt:lpwstr>https://doi.org/10.7861/fhj.2019-0065</vt:lpwstr>
      </vt:variant>
      <vt:variant>
        <vt:lpwstr/>
      </vt:variant>
      <vt:variant>
        <vt:i4>589915</vt:i4>
      </vt:variant>
      <vt:variant>
        <vt:i4>2364</vt:i4>
      </vt:variant>
      <vt:variant>
        <vt:i4>0</vt:i4>
      </vt:variant>
      <vt:variant>
        <vt:i4>5</vt:i4>
      </vt:variant>
      <vt:variant>
        <vt:lpwstr>https://doi.org/10.1002/jrsm.1447</vt:lpwstr>
      </vt:variant>
      <vt:variant>
        <vt:lpwstr/>
      </vt:variant>
      <vt:variant>
        <vt:i4>8323109</vt:i4>
      </vt:variant>
      <vt:variant>
        <vt:i4>2361</vt:i4>
      </vt:variant>
      <vt:variant>
        <vt:i4>0</vt:i4>
      </vt:variant>
      <vt:variant>
        <vt:i4>5</vt:i4>
      </vt:variant>
      <vt:variant>
        <vt:lpwstr>http://dx.doi.org/bmjqs-2016-006433</vt:lpwstr>
      </vt:variant>
      <vt:variant>
        <vt:lpwstr/>
      </vt:variant>
      <vt:variant>
        <vt:i4>6750256</vt:i4>
      </vt:variant>
      <vt:variant>
        <vt:i4>2358</vt:i4>
      </vt:variant>
      <vt:variant>
        <vt:i4>0</vt:i4>
      </vt:variant>
      <vt:variant>
        <vt:i4>5</vt:i4>
      </vt:variant>
      <vt:variant>
        <vt:lpwstr>http://dx.doi.org/10.1136/bmjqs-2013-001947</vt:lpwstr>
      </vt:variant>
      <vt:variant>
        <vt:lpwstr/>
      </vt:variant>
      <vt:variant>
        <vt:i4>131101</vt:i4>
      </vt:variant>
      <vt:variant>
        <vt:i4>2355</vt:i4>
      </vt:variant>
      <vt:variant>
        <vt:i4>0</vt:i4>
      </vt:variant>
      <vt:variant>
        <vt:i4>5</vt:i4>
      </vt:variant>
      <vt:variant>
        <vt:lpwstr>https://doi.org/10.1007/s10488-010-0319-7</vt:lpwstr>
      </vt:variant>
      <vt:variant>
        <vt:lpwstr/>
      </vt:variant>
      <vt:variant>
        <vt:i4>19</vt:i4>
      </vt:variant>
      <vt:variant>
        <vt:i4>2352</vt:i4>
      </vt:variant>
      <vt:variant>
        <vt:i4>0</vt:i4>
      </vt:variant>
      <vt:variant>
        <vt:i4>5</vt:i4>
      </vt:variant>
      <vt:variant>
        <vt:lpwstr>https://doi.org/10.1007/s10488-007-0144-9</vt:lpwstr>
      </vt:variant>
      <vt:variant>
        <vt:lpwstr/>
      </vt:variant>
      <vt:variant>
        <vt:i4>196635</vt:i4>
      </vt:variant>
      <vt:variant>
        <vt:i4>2349</vt:i4>
      </vt:variant>
      <vt:variant>
        <vt:i4>0</vt:i4>
      </vt:variant>
      <vt:variant>
        <vt:i4>5</vt:i4>
      </vt:variant>
      <vt:variant>
        <vt:lpwstr>https://doi.org/10.1186/s13012-015-0234-0</vt:lpwstr>
      </vt:variant>
      <vt:variant>
        <vt:lpwstr/>
      </vt:variant>
      <vt:variant>
        <vt:i4>983066</vt:i4>
      </vt:variant>
      <vt:variant>
        <vt:i4>2346</vt:i4>
      </vt:variant>
      <vt:variant>
        <vt:i4>0</vt:i4>
      </vt:variant>
      <vt:variant>
        <vt:i4>5</vt:i4>
      </vt:variant>
      <vt:variant>
        <vt:lpwstr>https://doi.org/10.1007/s11606-006-0267-9</vt:lpwstr>
      </vt:variant>
      <vt:variant>
        <vt:lpwstr/>
      </vt:variant>
      <vt:variant>
        <vt:i4>2162805</vt:i4>
      </vt:variant>
      <vt:variant>
        <vt:i4>2343</vt:i4>
      </vt:variant>
      <vt:variant>
        <vt:i4>0</vt:i4>
      </vt:variant>
      <vt:variant>
        <vt:i4>5</vt:i4>
      </vt:variant>
      <vt:variant>
        <vt:lpwstr>https://doi.org/10.1186/1748-5908-4-50</vt:lpwstr>
      </vt:variant>
      <vt:variant>
        <vt:lpwstr/>
      </vt:variant>
      <vt:variant>
        <vt:i4>7274548</vt:i4>
      </vt:variant>
      <vt:variant>
        <vt:i4>2340</vt:i4>
      </vt:variant>
      <vt:variant>
        <vt:i4>0</vt:i4>
      </vt:variant>
      <vt:variant>
        <vt:i4>5</vt:i4>
      </vt:variant>
      <vt:variant>
        <vt:lpwstr>https://doi.org/10.1007/s11060-018-03022-w</vt:lpwstr>
      </vt:variant>
      <vt:variant>
        <vt:lpwstr/>
      </vt:variant>
      <vt:variant>
        <vt:i4>3932279</vt:i4>
      </vt:variant>
      <vt:variant>
        <vt:i4>2337</vt:i4>
      </vt:variant>
      <vt:variant>
        <vt:i4>0</vt:i4>
      </vt:variant>
      <vt:variant>
        <vt:i4>5</vt:i4>
      </vt:variant>
      <vt:variant>
        <vt:lpwstr>https://doi.org/10.1016/j.ygyno.2008.12.008</vt:lpwstr>
      </vt:variant>
      <vt:variant>
        <vt:lpwstr/>
      </vt:variant>
      <vt:variant>
        <vt:i4>7077990</vt:i4>
      </vt:variant>
      <vt:variant>
        <vt:i4>2334</vt:i4>
      </vt:variant>
      <vt:variant>
        <vt:i4>0</vt:i4>
      </vt:variant>
      <vt:variant>
        <vt:i4>5</vt:i4>
      </vt:variant>
      <vt:variant>
        <vt:lpwstr>https://doi.org/10.1136/bmjopen-2016-011214</vt:lpwstr>
      </vt:variant>
      <vt:variant>
        <vt:lpwstr/>
      </vt:variant>
      <vt:variant>
        <vt:i4>2949174</vt:i4>
      </vt:variant>
      <vt:variant>
        <vt:i4>2331</vt:i4>
      </vt:variant>
      <vt:variant>
        <vt:i4>0</vt:i4>
      </vt:variant>
      <vt:variant>
        <vt:i4>5</vt:i4>
      </vt:variant>
      <vt:variant>
        <vt:lpwstr>https://doi.org/10.1007/s40273-020-00907-5</vt:lpwstr>
      </vt:variant>
      <vt:variant>
        <vt:lpwstr/>
      </vt:variant>
      <vt:variant>
        <vt:i4>1114193</vt:i4>
      </vt:variant>
      <vt:variant>
        <vt:i4>2328</vt:i4>
      </vt:variant>
      <vt:variant>
        <vt:i4>0</vt:i4>
      </vt:variant>
      <vt:variant>
        <vt:i4>5</vt:i4>
      </vt:variant>
      <vt:variant>
        <vt:lpwstr>https://doi.org/10.1177/1355819620926553</vt:lpwstr>
      </vt:variant>
      <vt:variant>
        <vt:lpwstr/>
      </vt:variant>
      <vt:variant>
        <vt:i4>5505117</vt:i4>
      </vt:variant>
      <vt:variant>
        <vt:i4>2325</vt:i4>
      </vt:variant>
      <vt:variant>
        <vt:i4>0</vt:i4>
      </vt:variant>
      <vt:variant>
        <vt:i4>5</vt:i4>
      </vt:variant>
      <vt:variant>
        <vt:lpwstr>https://doi.org/10.3310/hta19140</vt:lpwstr>
      </vt:variant>
      <vt:variant>
        <vt:lpwstr/>
      </vt:variant>
      <vt:variant>
        <vt:i4>7536755</vt:i4>
      </vt:variant>
      <vt:variant>
        <vt:i4>2322</vt:i4>
      </vt:variant>
      <vt:variant>
        <vt:i4>0</vt:i4>
      </vt:variant>
      <vt:variant>
        <vt:i4>5</vt:i4>
      </vt:variant>
      <vt:variant>
        <vt:lpwstr>https://cevr.tuftsmedicalcenter.org/databases/cea-registry</vt:lpwstr>
      </vt:variant>
      <vt:variant>
        <vt:lpwstr/>
      </vt:variant>
      <vt:variant>
        <vt:i4>7274541</vt:i4>
      </vt:variant>
      <vt:variant>
        <vt:i4>2319</vt:i4>
      </vt:variant>
      <vt:variant>
        <vt:i4>0</vt:i4>
      </vt:variant>
      <vt:variant>
        <vt:i4>5</vt:i4>
      </vt:variant>
      <vt:variant>
        <vt:lpwstr>https://www.nice.org.uk/process/pmg9/resources/guide-to-the-methods-of-technology-appraisal-2013-pdf-2007975843781</vt:lpwstr>
      </vt:variant>
      <vt:variant>
        <vt:lpwstr/>
      </vt:variant>
      <vt:variant>
        <vt:i4>1048671</vt:i4>
      </vt:variant>
      <vt:variant>
        <vt:i4>2316</vt:i4>
      </vt:variant>
      <vt:variant>
        <vt:i4>0</vt:i4>
      </vt:variant>
      <vt:variant>
        <vt:i4>5</vt:i4>
      </vt:variant>
      <vt:variant>
        <vt:lpwstr>https://doi.org/10.1177/0269216315595203</vt:lpwstr>
      </vt:variant>
      <vt:variant>
        <vt:lpwstr/>
      </vt:variant>
      <vt:variant>
        <vt:i4>5636190</vt:i4>
      </vt:variant>
      <vt:variant>
        <vt:i4>2313</vt:i4>
      </vt:variant>
      <vt:variant>
        <vt:i4>0</vt:i4>
      </vt:variant>
      <vt:variant>
        <vt:i4>5</vt:i4>
      </vt:variant>
      <vt:variant>
        <vt:lpwstr>https://doi.org/10.3310/hta17390</vt:lpwstr>
      </vt:variant>
      <vt:variant>
        <vt:lpwstr/>
      </vt:variant>
      <vt:variant>
        <vt:i4>4718658</vt:i4>
      </vt:variant>
      <vt:variant>
        <vt:i4>2310</vt:i4>
      </vt:variant>
      <vt:variant>
        <vt:i4>0</vt:i4>
      </vt:variant>
      <vt:variant>
        <vt:i4>5</vt:i4>
      </vt:variant>
      <vt:variant>
        <vt:lpwstr>http://www.nice.org.uk/guidance/ng83</vt:lpwstr>
      </vt:variant>
      <vt:variant>
        <vt:lpwstr/>
      </vt:variant>
      <vt:variant>
        <vt:i4>2621498</vt:i4>
      </vt:variant>
      <vt:variant>
        <vt:i4>2307</vt:i4>
      </vt:variant>
      <vt:variant>
        <vt:i4>0</vt:i4>
      </vt:variant>
      <vt:variant>
        <vt:i4>5</vt:i4>
      </vt:variant>
      <vt:variant>
        <vt:lpwstr>https://doi.org/10.1016/j.clgc.2019.12.004</vt:lpwstr>
      </vt:variant>
      <vt:variant>
        <vt:lpwstr/>
      </vt:variant>
      <vt:variant>
        <vt:i4>5242896</vt:i4>
      </vt:variant>
      <vt:variant>
        <vt:i4>2304</vt:i4>
      </vt:variant>
      <vt:variant>
        <vt:i4>0</vt:i4>
      </vt:variant>
      <vt:variant>
        <vt:i4>5</vt:i4>
      </vt:variant>
      <vt:variant>
        <vt:lpwstr>https://www.nice.org.uk/guidance/ng2</vt:lpwstr>
      </vt:variant>
      <vt:variant>
        <vt:lpwstr/>
      </vt:variant>
      <vt:variant>
        <vt:i4>5505092</vt:i4>
      </vt:variant>
      <vt:variant>
        <vt:i4>2301</vt:i4>
      </vt:variant>
      <vt:variant>
        <vt:i4>0</vt:i4>
      </vt:variant>
      <vt:variant>
        <vt:i4>5</vt:i4>
      </vt:variant>
      <vt:variant>
        <vt:lpwstr>https://doi.org/10.1111/bju.14862</vt:lpwstr>
      </vt:variant>
      <vt:variant>
        <vt:lpwstr/>
      </vt:variant>
      <vt:variant>
        <vt:i4>7143487</vt:i4>
      </vt:variant>
      <vt:variant>
        <vt:i4>2298</vt:i4>
      </vt:variant>
      <vt:variant>
        <vt:i4>0</vt:i4>
      </vt:variant>
      <vt:variant>
        <vt:i4>5</vt:i4>
      </vt:variant>
      <vt:variant>
        <vt:lpwstr>https://njl-admin.nihr.ac.uk/document/download/2033473</vt:lpwstr>
      </vt:variant>
      <vt:variant>
        <vt:lpwstr/>
      </vt:variant>
      <vt:variant>
        <vt:i4>7</vt:i4>
      </vt:variant>
      <vt:variant>
        <vt:i4>2295</vt:i4>
      </vt:variant>
      <vt:variant>
        <vt:i4>0</vt:i4>
      </vt:variant>
      <vt:variant>
        <vt:i4>5</vt:i4>
      </vt:variant>
      <vt:variant>
        <vt:lpwstr>https://digital.nhs.uk/data-and-information/data-collections-and-data-sets/data-collections/cancerwaitingtimescwt</vt:lpwstr>
      </vt:variant>
      <vt:variant>
        <vt:lpwstr>guidance</vt:lpwstr>
      </vt:variant>
      <vt:variant>
        <vt:i4>5439569</vt:i4>
      </vt:variant>
      <vt:variant>
        <vt:i4>2292</vt:i4>
      </vt:variant>
      <vt:variant>
        <vt:i4>0</vt:i4>
      </vt:variant>
      <vt:variant>
        <vt:i4>5</vt:i4>
      </vt:variant>
      <vt:variant>
        <vt:lpwstr>https://doi.org/10.1002/ijc.32068</vt:lpwstr>
      </vt:variant>
      <vt:variant>
        <vt:lpwstr/>
      </vt:variant>
      <vt:variant>
        <vt:i4>458777</vt:i4>
      </vt:variant>
      <vt:variant>
        <vt:i4>2289</vt:i4>
      </vt:variant>
      <vt:variant>
        <vt:i4>0</vt:i4>
      </vt:variant>
      <vt:variant>
        <vt:i4>5</vt:i4>
      </vt:variant>
      <vt:variant>
        <vt:lpwstr>https://doi.org/10.1186/s12961-018-0301-5</vt:lpwstr>
      </vt:variant>
      <vt:variant>
        <vt:lpwstr/>
      </vt:variant>
      <vt:variant>
        <vt:i4>327700</vt:i4>
      </vt:variant>
      <vt:variant>
        <vt:i4>2286</vt:i4>
      </vt:variant>
      <vt:variant>
        <vt:i4>0</vt:i4>
      </vt:variant>
      <vt:variant>
        <vt:i4>5</vt:i4>
      </vt:variant>
      <vt:variant>
        <vt:lpwstr>https://doi.org/10.1007/s10198-007-0043-8</vt:lpwstr>
      </vt:variant>
      <vt:variant>
        <vt:lpwstr/>
      </vt:variant>
      <vt:variant>
        <vt:i4>6225951</vt:i4>
      </vt:variant>
      <vt:variant>
        <vt:i4>2283</vt:i4>
      </vt:variant>
      <vt:variant>
        <vt:i4>0</vt:i4>
      </vt:variant>
      <vt:variant>
        <vt:i4>5</vt:i4>
      </vt:variant>
      <vt:variant>
        <vt:lpwstr>https://doi.org/10.1111/j.1524-4733.2007.00175.x</vt:lpwstr>
      </vt:variant>
      <vt:variant>
        <vt:lpwstr/>
      </vt:variant>
      <vt:variant>
        <vt:i4>1179671</vt:i4>
      </vt:variant>
      <vt:variant>
        <vt:i4>2280</vt:i4>
      </vt:variant>
      <vt:variant>
        <vt:i4>0</vt:i4>
      </vt:variant>
      <vt:variant>
        <vt:i4>5</vt:i4>
      </vt:variant>
      <vt:variant>
        <vt:lpwstr>https://doi.org/10.1017/S1744133118000063</vt:lpwstr>
      </vt:variant>
      <vt:variant>
        <vt:lpwstr/>
      </vt:variant>
      <vt:variant>
        <vt:i4>5308503</vt:i4>
      </vt:variant>
      <vt:variant>
        <vt:i4>2277</vt:i4>
      </vt:variant>
      <vt:variant>
        <vt:i4>0</vt:i4>
      </vt:variant>
      <vt:variant>
        <vt:i4>5</vt:i4>
      </vt:variant>
      <vt:variant>
        <vt:lpwstr>https://doi.org/10.3310/hta16410</vt:lpwstr>
      </vt:variant>
      <vt:variant>
        <vt:lpwstr/>
      </vt:variant>
      <vt:variant>
        <vt:i4>4128800</vt:i4>
      </vt:variant>
      <vt:variant>
        <vt:i4>2274</vt:i4>
      </vt:variant>
      <vt:variant>
        <vt:i4>0</vt:i4>
      </vt:variant>
      <vt:variant>
        <vt:i4>5</vt:i4>
      </vt:variant>
      <vt:variant>
        <vt:lpwstr>https://doi.org/10.1016/j.juro.2017.12.086</vt:lpwstr>
      </vt:variant>
      <vt:variant>
        <vt:lpwstr/>
      </vt:variant>
      <vt:variant>
        <vt:i4>5767257</vt:i4>
      </vt:variant>
      <vt:variant>
        <vt:i4>2271</vt:i4>
      </vt:variant>
      <vt:variant>
        <vt:i4>0</vt:i4>
      </vt:variant>
      <vt:variant>
        <vt:i4>5</vt:i4>
      </vt:variant>
      <vt:variant>
        <vt:lpwstr>https://doi.org/10.1332/174426416X14712553750311</vt:lpwstr>
      </vt:variant>
      <vt:variant>
        <vt:lpwstr/>
      </vt:variant>
      <vt:variant>
        <vt:i4>6357099</vt:i4>
      </vt:variant>
      <vt:variant>
        <vt:i4>2268</vt:i4>
      </vt:variant>
      <vt:variant>
        <vt:i4>0</vt:i4>
      </vt:variant>
      <vt:variant>
        <vt:i4>5</vt:i4>
      </vt:variant>
      <vt:variant>
        <vt:lpwstr>https://www.leadershipacademy.nhs.uk/resources/healthcare-leadership-model/</vt:lpwstr>
      </vt:variant>
      <vt:variant>
        <vt:lpwstr/>
      </vt:variant>
      <vt:variant>
        <vt:i4>1048661</vt:i4>
      </vt:variant>
      <vt:variant>
        <vt:i4>2265</vt:i4>
      </vt:variant>
      <vt:variant>
        <vt:i4>0</vt:i4>
      </vt:variant>
      <vt:variant>
        <vt:i4>5</vt:i4>
      </vt:variant>
      <vt:variant>
        <vt:lpwstr>https://doi.org/10.1177/0021886314532831</vt:lpwstr>
      </vt:variant>
      <vt:variant>
        <vt:lpwstr/>
      </vt:variant>
      <vt:variant>
        <vt:i4>3145840</vt:i4>
      </vt:variant>
      <vt:variant>
        <vt:i4>2262</vt:i4>
      </vt:variant>
      <vt:variant>
        <vt:i4>0</vt:i4>
      </vt:variant>
      <vt:variant>
        <vt:i4>5</vt:i4>
      </vt:variant>
      <vt:variant>
        <vt:lpwstr>https://doi.org/10.1111/1467-9566.13234</vt:lpwstr>
      </vt:variant>
      <vt:variant>
        <vt:lpwstr/>
      </vt:variant>
      <vt:variant>
        <vt:i4>1966106</vt:i4>
      </vt:variant>
      <vt:variant>
        <vt:i4>2259</vt:i4>
      </vt:variant>
      <vt:variant>
        <vt:i4>0</vt:i4>
      </vt:variant>
      <vt:variant>
        <vt:i4>5</vt:i4>
      </vt:variant>
      <vt:variant>
        <vt:lpwstr>https://doi.org/10.1017/S0047279417000721</vt:lpwstr>
      </vt:variant>
      <vt:variant>
        <vt:lpwstr/>
      </vt:variant>
      <vt:variant>
        <vt:i4>5439502</vt:i4>
      </vt:variant>
      <vt:variant>
        <vt:i4>2256</vt:i4>
      </vt:variant>
      <vt:variant>
        <vt:i4>0</vt:i4>
      </vt:variant>
      <vt:variant>
        <vt:i4>5</vt:i4>
      </vt:variant>
      <vt:variant>
        <vt:lpwstr>https://doi.org/10.1525/si.2003.26.3.381</vt:lpwstr>
      </vt:variant>
      <vt:variant>
        <vt:lpwstr/>
      </vt:variant>
      <vt:variant>
        <vt:i4>3735679</vt:i4>
      </vt:variant>
      <vt:variant>
        <vt:i4>2253</vt:i4>
      </vt:variant>
      <vt:variant>
        <vt:i4>0</vt:i4>
      </vt:variant>
      <vt:variant>
        <vt:i4>5</vt:i4>
      </vt:variant>
      <vt:variant>
        <vt:lpwstr>https://doi.org/10.1080/00332747.1955.11023008</vt:lpwstr>
      </vt:variant>
      <vt:variant>
        <vt:lpwstr/>
      </vt:variant>
      <vt:variant>
        <vt:i4>786513</vt:i4>
      </vt:variant>
      <vt:variant>
        <vt:i4>2250</vt:i4>
      </vt:variant>
      <vt:variant>
        <vt:i4>0</vt:i4>
      </vt:variant>
      <vt:variant>
        <vt:i4>5</vt:i4>
      </vt:variant>
      <vt:variant>
        <vt:lpwstr>https://doi.org/10.1186/1471-2288-13-117</vt:lpwstr>
      </vt:variant>
      <vt:variant>
        <vt:lpwstr/>
      </vt:variant>
      <vt:variant>
        <vt:i4>2097261</vt:i4>
      </vt:variant>
      <vt:variant>
        <vt:i4>2247</vt:i4>
      </vt:variant>
      <vt:variant>
        <vt:i4>0</vt:i4>
      </vt:variant>
      <vt:variant>
        <vt:i4>5</vt:i4>
      </vt:variant>
      <vt:variant>
        <vt:lpwstr>https://doi.org/10.1177/1523422302004001004</vt:lpwstr>
      </vt:variant>
      <vt:variant>
        <vt:lpwstr/>
      </vt:variant>
      <vt:variant>
        <vt:i4>2228330</vt:i4>
      </vt:variant>
      <vt:variant>
        <vt:i4>2244</vt:i4>
      </vt:variant>
      <vt:variant>
        <vt:i4>0</vt:i4>
      </vt:variant>
      <vt:variant>
        <vt:i4>5</vt:i4>
      </vt:variant>
      <vt:variant>
        <vt:lpwstr>https://doi.org/10.1177/160940690600500107</vt:lpwstr>
      </vt:variant>
      <vt:variant>
        <vt:lpwstr/>
      </vt:variant>
      <vt:variant>
        <vt:i4>131149</vt:i4>
      </vt:variant>
      <vt:variant>
        <vt:i4>2241</vt:i4>
      </vt:variant>
      <vt:variant>
        <vt:i4>0</vt:i4>
      </vt:variant>
      <vt:variant>
        <vt:i4>5</vt:i4>
      </vt:variant>
      <vt:variant>
        <vt:lpwstr>https://doi.org/10.1136/jech.2006.054254</vt:lpwstr>
      </vt:variant>
      <vt:variant>
        <vt:lpwstr/>
      </vt:variant>
      <vt:variant>
        <vt:i4>5636119</vt:i4>
      </vt:variant>
      <vt:variant>
        <vt:i4>2238</vt:i4>
      </vt:variant>
      <vt:variant>
        <vt:i4>0</vt:i4>
      </vt:variant>
      <vt:variant>
        <vt:i4>5</vt:i4>
      </vt:variant>
      <vt:variant>
        <vt:lpwstr>https://doi.org/10.1016/j.emj.2007.02.004</vt:lpwstr>
      </vt:variant>
      <vt:variant>
        <vt:lpwstr/>
      </vt:variant>
      <vt:variant>
        <vt:i4>5636119</vt:i4>
      </vt:variant>
      <vt:variant>
        <vt:i4>2235</vt:i4>
      </vt:variant>
      <vt:variant>
        <vt:i4>0</vt:i4>
      </vt:variant>
      <vt:variant>
        <vt:i4>5</vt:i4>
      </vt:variant>
      <vt:variant>
        <vt:lpwstr>https://doi.org/10.1016/j.emj.2007.02.004</vt:lpwstr>
      </vt:variant>
      <vt:variant>
        <vt:lpwstr/>
      </vt:variant>
      <vt:variant>
        <vt:i4>2097261</vt:i4>
      </vt:variant>
      <vt:variant>
        <vt:i4>2232</vt:i4>
      </vt:variant>
      <vt:variant>
        <vt:i4>0</vt:i4>
      </vt:variant>
      <vt:variant>
        <vt:i4>5</vt:i4>
      </vt:variant>
      <vt:variant>
        <vt:lpwstr>https://doi.org/10.1177/1523422302004001004</vt:lpwstr>
      </vt:variant>
      <vt:variant>
        <vt:lpwstr/>
      </vt:variant>
      <vt:variant>
        <vt:i4>4915268</vt:i4>
      </vt:variant>
      <vt:variant>
        <vt:i4>2229</vt:i4>
      </vt:variant>
      <vt:variant>
        <vt:i4>0</vt:i4>
      </vt:variant>
      <vt:variant>
        <vt:i4>5</vt:i4>
      </vt:variant>
      <vt:variant>
        <vt:lpwstr>https://doi.org/10.1016/j.scaman.2010.09.013</vt:lpwstr>
      </vt:variant>
      <vt:variant>
        <vt:lpwstr/>
      </vt:variant>
      <vt:variant>
        <vt:i4>1966173</vt:i4>
      </vt:variant>
      <vt:variant>
        <vt:i4>2226</vt:i4>
      </vt:variant>
      <vt:variant>
        <vt:i4>0</vt:i4>
      </vt:variant>
      <vt:variant>
        <vt:i4>5</vt:i4>
      </vt:variant>
      <vt:variant>
        <vt:lpwstr>https://doi.org/10.1097/00004010-200510000-00007</vt:lpwstr>
      </vt:variant>
      <vt:variant>
        <vt:lpwstr/>
      </vt:variant>
      <vt:variant>
        <vt:i4>1310805</vt:i4>
      </vt:variant>
      <vt:variant>
        <vt:i4>2223</vt:i4>
      </vt:variant>
      <vt:variant>
        <vt:i4>0</vt:i4>
      </vt:variant>
      <vt:variant>
        <vt:i4>5</vt:i4>
      </vt:variant>
      <vt:variant>
        <vt:lpwstr>https://doi.org/10.1136/qshc.2003.009159</vt:lpwstr>
      </vt:variant>
      <vt:variant>
        <vt:lpwstr/>
      </vt:variant>
      <vt:variant>
        <vt:i4>2687076</vt:i4>
      </vt:variant>
      <vt:variant>
        <vt:i4>2220</vt:i4>
      </vt:variant>
      <vt:variant>
        <vt:i4>0</vt:i4>
      </vt:variant>
      <vt:variant>
        <vt:i4>5</vt:i4>
      </vt:variant>
      <vt:variant>
        <vt:lpwstr>https://doi.org/10.1016/j.socscimed.2004.04.017</vt:lpwstr>
      </vt:variant>
      <vt:variant>
        <vt:lpwstr/>
      </vt:variant>
      <vt:variant>
        <vt:i4>6160405</vt:i4>
      </vt:variant>
      <vt:variant>
        <vt:i4>2217</vt:i4>
      </vt:variant>
      <vt:variant>
        <vt:i4>0</vt:i4>
      </vt:variant>
      <vt:variant>
        <vt:i4>5</vt:i4>
      </vt:variant>
      <vt:variant>
        <vt:lpwstr>https://doi.org/10.1111/j.1475-6773.2006.00684.x</vt:lpwstr>
      </vt:variant>
      <vt:variant>
        <vt:lpwstr/>
      </vt:variant>
      <vt:variant>
        <vt:i4>4390993</vt:i4>
      </vt:variant>
      <vt:variant>
        <vt:i4>2214</vt:i4>
      </vt:variant>
      <vt:variant>
        <vt:i4>0</vt:i4>
      </vt:variant>
      <vt:variant>
        <vt:i4>5</vt:i4>
      </vt:variant>
      <vt:variant>
        <vt:lpwstr>https://cahs-acss.ca/wp-content/uploads/2011/09/cdm-final-English.pdf</vt:lpwstr>
      </vt:variant>
      <vt:variant>
        <vt:lpwstr/>
      </vt:variant>
      <vt:variant>
        <vt:i4>196638</vt:i4>
      </vt:variant>
      <vt:variant>
        <vt:i4>2211</vt:i4>
      </vt:variant>
      <vt:variant>
        <vt:i4>0</vt:i4>
      </vt:variant>
      <vt:variant>
        <vt:i4>5</vt:i4>
      </vt:variant>
      <vt:variant>
        <vt:lpwstr>https://doi.org/10.1186/s13012-016-0506-3</vt:lpwstr>
      </vt:variant>
      <vt:variant>
        <vt:lpwstr/>
      </vt:variant>
      <vt:variant>
        <vt:i4>3866723</vt:i4>
      </vt:variant>
      <vt:variant>
        <vt:i4>2208</vt:i4>
      </vt:variant>
      <vt:variant>
        <vt:i4>0</vt:i4>
      </vt:variant>
      <vt:variant>
        <vt:i4>5</vt:i4>
      </vt:variant>
      <vt:variant>
        <vt:lpwstr>http://in-source.ca/wp-content/uploads/2017/08/KAST_Final_report_December_2_2010_FINAL.pdf</vt:lpwstr>
      </vt:variant>
      <vt:variant>
        <vt:lpwstr/>
      </vt:variant>
      <vt:variant>
        <vt:i4>3932257</vt:i4>
      </vt:variant>
      <vt:variant>
        <vt:i4>2205</vt:i4>
      </vt:variant>
      <vt:variant>
        <vt:i4>0</vt:i4>
      </vt:variant>
      <vt:variant>
        <vt:i4>5</vt:i4>
      </vt:variant>
      <vt:variant>
        <vt:lpwstr>https://doi.org/10.1097/01.HMR.0000342979.91931.d9</vt:lpwstr>
      </vt:variant>
      <vt:variant>
        <vt:lpwstr/>
      </vt:variant>
      <vt:variant>
        <vt:i4>1376343</vt:i4>
      </vt:variant>
      <vt:variant>
        <vt:i4>2202</vt:i4>
      </vt:variant>
      <vt:variant>
        <vt:i4>0</vt:i4>
      </vt:variant>
      <vt:variant>
        <vt:i4>5</vt:i4>
      </vt:variant>
      <vt:variant>
        <vt:lpwstr>https://doi.org/10.1017/S0143814X00007285</vt:lpwstr>
      </vt:variant>
      <vt:variant>
        <vt:lpwstr/>
      </vt:variant>
      <vt:variant>
        <vt:i4>2818151</vt:i4>
      </vt:variant>
      <vt:variant>
        <vt:i4>2199</vt:i4>
      </vt:variant>
      <vt:variant>
        <vt:i4>0</vt:i4>
      </vt:variant>
      <vt:variant>
        <vt:i4>5</vt:i4>
      </vt:variant>
      <vt:variant>
        <vt:lpwstr>https://doi.org/10.1016/j.socscimed.2016.06.019</vt:lpwstr>
      </vt:variant>
      <vt:variant>
        <vt:lpwstr/>
      </vt:variant>
      <vt:variant>
        <vt:i4>3932265</vt:i4>
      </vt:variant>
      <vt:variant>
        <vt:i4>2196</vt:i4>
      </vt:variant>
      <vt:variant>
        <vt:i4>0</vt:i4>
      </vt:variant>
      <vt:variant>
        <vt:i4>5</vt:i4>
      </vt:variant>
      <vt:variant>
        <vt:lpwstr>https://doi.org/10.1287/mnsc.1050.0464</vt:lpwstr>
      </vt:variant>
      <vt:variant>
        <vt:lpwstr/>
      </vt:variant>
      <vt:variant>
        <vt:i4>6029391</vt:i4>
      </vt:variant>
      <vt:variant>
        <vt:i4>2193</vt:i4>
      </vt:variant>
      <vt:variant>
        <vt:i4>0</vt:i4>
      </vt:variant>
      <vt:variant>
        <vt:i4>5</vt:i4>
      </vt:variant>
      <vt:variant>
        <vt:lpwstr>https://doi.org/10.1016/0277-9536(93)90377-G</vt:lpwstr>
      </vt:variant>
      <vt:variant>
        <vt:lpwstr/>
      </vt:variant>
      <vt:variant>
        <vt:i4>4718683</vt:i4>
      </vt:variant>
      <vt:variant>
        <vt:i4>2190</vt:i4>
      </vt:variant>
      <vt:variant>
        <vt:i4>0</vt:i4>
      </vt:variant>
      <vt:variant>
        <vt:i4>5</vt:i4>
      </vt:variant>
      <vt:variant>
        <vt:lpwstr>https://doi.org/10.1093/jopart/muq045</vt:lpwstr>
      </vt:variant>
      <vt:variant>
        <vt:lpwstr/>
      </vt:variant>
      <vt:variant>
        <vt:i4>655427</vt:i4>
      </vt:variant>
      <vt:variant>
        <vt:i4>2187</vt:i4>
      </vt:variant>
      <vt:variant>
        <vt:i4>0</vt:i4>
      </vt:variant>
      <vt:variant>
        <vt:i4>5</vt:i4>
      </vt:variant>
      <vt:variant>
        <vt:lpwstr>https://doi.org/10.1080/14719037.2014.903658</vt:lpwstr>
      </vt:variant>
      <vt:variant>
        <vt:lpwstr/>
      </vt:variant>
      <vt:variant>
        <vt:i4>2359397</vt:i4>
      </vt:variant>
      <vt:variant>
        <vt:i4>2184</vt:i4>
      </vt:variant>
      <vt:variant>
        <vt:i4>0</vt:i4>
      </vt:variant>
      <vt:variant>
        <vt:i4>5</vt:i4>
      </vt:variant>
      <vt:variant>
        <vt:lpwstr>https://doi.org/10.1016/j.socscimed.2019.04.011</vt:lpwstr>
      </vt:variant>
      <vt:variant>
        <vt:lpwstr/>
      </vt:variant>
      <vt:variant>
        <vt:i4>5242974</vt:i4>
      </vt:variant>
      <vt:variant>
        <vt:i4>2181</vt:i4>
      </vt:variant>
      <vt:variant>
        <vt:i4>0</vt:i4>
      </vt:variant>
      <vt:variant>
        <vt:i4>5</vt:i4>
      </vt:variant>
      <vt:variant>
        <vt:lpwstr>https://doi.org/10.5465/amr.1982.4285461</vt:lpwstr>
      </vt:variant>
      <vt:variant>
        <vt:lpwstr/>
      </vt:variant>
      <vt:variant>
        <vt:i4>3801203</vt:i4>
      </vt:variant>
      <vt:variant>
        <vt:i4>2178</vt:i4>
      </vt:variant>
      <vt:variant>
        <vt:i4>0</vt:i4>
      </vt:variant>
      <vt:variant>
        <vt:i4>5</vt:i4>
      </vt:variant>
      <vt:variant>
        <vt:lpwstr>https://doi.org/10.1016/j.healthpol.2018.09.003</vt:lpwstr>
      </vt:variant>
      <vt:variant>
        <vt:lpwstr/>
      </vt:variant>
      <vt:variant>
        <vt:i4>5570584</vt:i4>
      </vt:variant>
      <vt:variant>
        <vt:i4>2175</vt:i4>
      </vt:variant>
      <vt:variant>
        <vt:i4>0</vt:i4>
      </vt:variant>
      <vt:variant>
        <vt:i4>5</vt:i4>
      </vt:variant>
      <vt:variant>
        <vt:lpwstr>https://doi.org/10.1111/j.1468-2370.2011.00324.x</vt:lpwstr>
      </vt:variant>
      <vt:variant>
        <vt:lpwstr/>
      </vt:variant>
      <vt:variant>
        <vt:i4>5374043</vt:i4>
      </vt:variant>
      <vt:variant>
        <vt:i4>2172</vt:i4>
      </vt:variant>
      <vt:variant>
        <vt:i4>0</vt:i4>
      </vt:variant>
      <vt:variant>
        <vt:i4>5</vt:i4>
      </vt:variant>
      <vt:variant>
        <vt:lpwstr>https://doi.org/10.1093/jopart/mun016</vt:lpwstr>
      </vt:variant>
      <vt:variant>
        <vt:lpwstr/>
      </vt:variant>
      <vt:variant>
        <vt:i4>2424929</vt:i4>
      </vt:variant>
      <vt:variant>
        <vt:i4>2169</vt:i4>
      </vt:variant>
      <vt:variant>
        <vt:i4>0</vt:i4>
      </vt:variant>
      <vt:variant>
        <vt:i4>5</vt:i4>
      </vt:variant>
      <vt:variant>
        <vt:lpwstr>https://doi.org/10.1016/j.socscimed.2009.11.011</vt:lpwstr>
      </vt:variant>
      <vt:variant>
        <vt:lpwstr/>
      </vt:variant>
      <vt:variant>
        <vt:i4>1048668</vt:i4>
      </vt:variant>
      <vt:variant>
        <vt:i4>2166</vt:i4>
      </vt:variant>
      <vt:variant>
        <vt:i4>0</vt:i4>
      </vt:variant>
      <vt:variant>
        <vt:i4>5</vt:i4>
      </vt:variant>
      <vt:variant>
        <vt:lpwstr>https://doi.org/10.1177/0018726708091018</vt:lpwstr>
      </vt:variant>
      <vt:variant>
        <vt:lpwstr/>
      </vt:variant>
      <vt:variant>
        <vt:i4>655376</vt:i4>
      </vt:variant>
      <vt:variant>
        <vt:i4>2163</vt:i4>
      </vt:variant>
      <vt:variant>
        <vt:i4>0</vt:i4>
      </vt:variant>
      <vt:variant>
        <vt:i4>5</vt:i4>
      </vt:variant>
      <vt:variant>
        <vt:lpwstr>https://doi.org/10.1007/s10067-015-2950-x</vt:lpwstr>
      </vt:variant>
      <vt:variant>
        <vt:lpwstr/>
      </vt:variant>
      <vt:variant>
        <vt:i4>5439512</vt:i4>
      </vt:variant>
      <vt:variant>
        <vt:i4>2160</vt:i4>
      </vt:variant>
      <vt:variant>
        <vt:i4>0</vt:i4>
      </vt:variant>
      <vt:variant>
        <vt:i4>5</vt:i4>
      </vt:variant>
      <vt:variant>
        <vt:lpwstr>https://doi.org/10.1111/j.1467-6486.2004.00424.x</vt:lpwstr>
      </vt:variant>
      <vt:variant>
        <vt:lpwstr/>
      </vt:variant>
      <vt:variant>
        <vt:i4>589844</vt:i4>
      </vt:variant>
      <vt:variant>
        <vt:i4>2157</vt:i4>
      </vt:variant>
      <vt:variant>
        <vt:i4>0</vt:i4>
      </vt:variant>
      <vt:variant>
        <vt:i4>5</vt:i4>
      </vt:variant>
      <vt:variant>
        <vt:lpwstr>https://doi.org/10.1186/s12913-017-2018-5</vt:lpwstr>
      </vt:variant>
      <vt:variant>
        <vt:lpwstr/>
      </vt:variant>
      <vt:variant>
        <vt:i4>3866673</vt:i4>
      </vt:variant>
      <vt:variant>
        <vt:i4>2154</vt:i4>
      </vt:variant>
      <vt:variant>
        <vt:i4>0</vt:i4>
      </vt:variant>
      <vt:variant>
        <vt:i4>5</vt:i4>
      </vt:variant>
      <vt:variant>
        <vt:lpwstr>https://doi.org/10.1016/j.ijnurstu.2017.11.002</vt:lpwstr>
      </vt:variant>
      <vt:variant>
        <vt:lpwstr/>
      </vt:variant>
      <vt:variant>
        <vt:i4>5701632</vt:i4>
      </vt:variant>
      <vt:variant>
        <vt:i4>2151</vt:i4>
      </vt:variant>
      <vt:variant>
        <vt:i4>0</vt:i4>
      </vt:variant>
      <vt:variant>
        <vt:i4>5</vt:i4>
      </vt:variant>
      <vt:variant>
        <vt:lpwstr>https://doi.org/10.1525/si.2010.33.3.341</vt:lpwstr>
      </vt:variant>
      <vt:variant>
        <vt:lpwstr/>
      </vt:variant>
      <vt:variant>
        <vt:i4>3407995</vt:i4>
      </vt:variant>
      <vt:variant>
        <vt:i4>2148</vt:i4>
      </vt:variant>
      <vt:variant>
        <vt:i4>0</vt:i4>
      </vt:variant>
      <vt:variant>
        <vt:i4>5</vt:i4>
      </vt:variant>
      <vt:variant>
        <vt:lpwstr>https://doi.org/10.1016/j.healthpol.2016.11.018</vt:lpwstr>
      </vt:variant>
      <vt:variant>
        <vt:lpwstr/>
      </vt:variant>
      <vt:variant>
        <vt:i4>1048659</vt:i4>
      </vt:variant>
      <vt:variant>
        <vt:i4>2145</vt:i4>
      </vt:variant>
      <vt:variant>
        <vt:i4>0</vt:i4>
      </vt:variant>
      <vt:variant>
        <vt:i4>5</vt:i4>
      </vt:variant>
      <vt:variant>
        <vt:lpwstr>https://doi.org/10.1177/1056492609337493</vt:lpwstr>
      </vt:variant>
      <vt:variant>
        <vt:lpwstr/>
      </vt:variant>
      <vt:variant>
        <vt:i4>1638488</vt:i4>
      </vt:variant>
      <vt:variant>
        <vt:i4>2142</vt:i4>
      </vt:variant>
      <vt:variant>
        <vt:i4>0</vt:i4>
      </vt:variant>
      <vt:variant>
        <vt:i4>5</vt:i4>
      </vt:variant>
      <vt:variant>
        <vt:lpwstr>https://doi.org/10.1177/0149206307302554</vt:lpwstr>
      </vt:variant>
      <vt:variant>
        <vt:lpwstr/>
      </vt:variant>
      <vt:variant>
        <vt:i4>6094925</vt:i4>
      </vt:variant>
      <vt:variant>
        <vt:i4>2139</vt:i4>
      </vt:variant>
      <vt:variant>
        <vt:i4>0</vt:i4>
      </vt:variant>
      <vt:variant>
        <vt:i4>5</vt:i4>
      </vt:variant>
      <vt:variant>
        <vt:lpwstr>https://doi.org/10.1111/hex.12668</vt:lpwstr>
      </vt:variant>
      <vt:variant>
        <vt:lpwstr/>
      </vt:variant>
      <vt:variant>
        <vt:i4>5636172</vt:i4>
      </vt:variant>
      <vt:variant>
        <vt:i4>2136</vt:i4>
      </vt:variant>
      <vt:variant>
        <vt:i4>0</vt:i4>
      </vt:variant>
      <vt:variant>
        <vt:i4>5</vt:i4>
      </vt:variant>
      <vt:variant>
        <vt:lpwstr>https://doi.org/10.1016/j.leaqua.2012.10.012</vt:lpwstr>
      </vt:variant>
      <vt:variant>
        <vt:lpwstr/>
      </vt:variant>
      <vt:variant>
        <vt:i4>720927</vt:i4>
      </vt:variant>
      <vt:variant>
        <vt:i4>2133</vt:i4>
      </vt:variant>
      <vt:variant>
        <vt:i4>0</vt:i4>
      </vt:variant>
      <vt:variant>
        <vt:i4>5</vt:i4>
      </vt:variant>
      <vt:variant>
        <vt:lpwstr>https://doi.org/10.1186/s12913-016-1615-z</vt:lpwstr>
      </vt:variant>
      <vt:variant>
        <vt:lpwstr/>
      </vt:variant>
      <vt:variant>
        <vt:i4>3080290</vt:i4>
      </vt:variant>
      <vt:variant>
        <vt:i4>2130</vt:i4>
      </vt:variant>
      <vt:variant>
        <vt:i4>0</vt:i4>
      </vt:variant>
      <vt:variant>
        <vt:i4>5</vt:i4>
      </vt:variant>
      <vt:variant>
        <vt:lpwstr>https://doi.org/10.1016/j.socscimed.2011.03.021</vt:lpwstr>
      </vt:variant>
      <vt:variant>
        <vt:lpwstr/>
      </vt:variant>
      <vt:variant>
        <vt:i4>983115</vt:i4>
      </vt:variant>
      <vt:variant>
        <vt:i4>2127</vt:i4>
      </vt:variant>
      <vt:variant>
        <vt:i4>0</vt:i4>
      </vt:variant>
      <vt:variant>
        <vt:i4>5</vt:i4>
      </vt:variant>
      <vt:variant>
        <vt:lpwstr>https://doi.org/10.1080/14719037.2019.1588360</vt:lpwstr>
      </vt:variant>
      <vt:variant>
        <vt:lpwstr/>
      </vt:variant>
      <vt:variant>
        <vt:i4>3145851</vt:i4>
      </vt:variant>
      <vt:variant>
        <vt:i4>2124</vt:i4>
      </vt:variant>
      <vt:variant>
        <vt:i4>0</vt:i4>
      </vt:variant>
      <vt:variant>
        <vt:i4>5</vt:i4>
      </vt:variant>
      <vt:variant>
        <vt:lpwstr>https://doi.org/10.1111/1467-9566.12923</vt:lpwstr>
      </vt:variant>
      <vt:variant>
        <vt:lpwstr/>
      </vt:variant>
      <vt:variant>
        <vt:i4>5505052</vt:i4>
      </vt:variant>
      <vt:variant>
        <vt:i4>2121</vt:i4>
      </vt:variant>
      <vt:variant>
        <vt:i4>0</vt:i4>
      </vt:variant>
      <vt:variant>
        <vt:i4>5</vt:i4>
      </vt:variant>
      <vt:variant>
        <vt:lpwstr>https://doi.org/10.1111/j.1467-9566.2005.00473.x</vt:lpwstr>
      </vt:variant>
      <vt:variant>
        <vt:lpwstr/>
      </vt:variant>
      <vt:variant>
        <vt:i4>1376340</vt:i4>
      </vt:variant>
      <vt:variant>
        <vt:i4>2118</vt:i4>
      </vt:variant>
      <vt:variant>
        <vt:i4>0</vt:i4>
      </vt:variant>
      <vt:variant>
        <vt:i4>5</vt:i4>
      </vt:variant>
      <vt:variant>
        <vt:lpwstr>https://doi.org/10.1177/1355819617728530</vt:lpwstr>
      </vt:variant>
      <vt:variant>
        <vt:lpwstr/>
      </vt:variant>
      <vt:variant>
        <vt:i4>1704016</vt:i4>
      </vt:variant>
      <vt:variant>
        <vt:i4>2115</vt:i4>
      </vt:variant>
      <vt:variant>
        <vt:i4>0</vt:i4>
      </vt:variant>
      <vt:variant>
        <vt:i4>5</vt:i4>
      </vt:variant>
      <vt:variant>
        <vt:lpwstr>https://doi.org/10.1177/1355819615626189</vt:lpwstr>
      </vt:variant>
      <vt:variant>
        <vt:lpwstr/>
      </vt:variant>
      <vt:variant>
        <vt:i4>1114193</vt:i4>
      </vt:variant>
      <vt:variant>
        <vt:i4>2112</vt:i4>
      </vt:variant>
      <vt:variant>
        <vt:i4>0</vt:i4>
      </vt:variant>
      <vt:variant>
        <vt:i4>5</vt:i4>
      </vt:variant>
      <vt:variant>
        <vt:lpwstr>https://doi.org/10.1177/1355819620926553</vt:lpwstr>
      </vt:variant>
      <vt:variant>
        <vt:lpwstr/>
      </vt:variant>
      <vt:variant>
        <vt:i4>2949229</vt:i4>
      </vt:variant>
      <vt:variant>
        <vt:i4>2109</vt:i4>
      </vt:variant>
      <vt:variant>
        <vt:i4>0</vt:i4>
      </vt:variant>
      <vt:variant>
        <vt:i4>5</vt:i4>
      </vt:variant>
      <vt:variant>
        <vt:lpwstr>https://doi.org/10.2307/2529310</vt:lpwstr>
      </vt:variant>
      <vt:variant>
        <vt:lpwstr/>
      </vt:variant>
      <vt:variant>
        <vt:i4>327699</vt:i4>
      </vt:variant>
      <vt:variant>
        <vt:i4>2106</vt:i4>
      </vt:variant>
      <vt:variant>
        <vt:i4>0</vt:i4>
      </vt:variant>
      <vt:variant>
        <vt:i4>5</vt:i4>
      </vt:variant>
      <vt:variant>
        <vt:lpwstr>https://doi.org/10.1186/s12885-018-4137-8</vt:lpwstr>
      </vt:variant>
      <vt:variant>
        <vt:lpwstr/>
      </vt:variant>
      <vt:variant>
        <vt:i4>2818147</vt:i4>
      </vt:variant>
      <vt:variant>
        <vt:i4>2103</vt:i4>
      </vt:variant>
      <vt:variant>
        <vt:i4>0</vt:i4>
      </vt:variant>
      <vt:variant>
        <vt:i4>5</vt:i4>
      </vt:variant>
      <vt:variant>
        <vt:lpwstr>https://www.england.nhs.uk/london/wp-content/uploads/sites/8/2014/03/cacr-crdio-ovrviw.pdf</vt:lpwstr>
      </vt:variant>
      <vt:variant>
        <vt:lpwstr/>
      </vt:variant>
      <vt:variant>
        <vt:i4>1900624</vt:i4>
      </vt:variant>
      <vt:variant>
        <vt:i4>2100</vt:i4>
      </vt:variant>
      <vt:variant>
        <vt:i4>0</vt:i4>
      </vt:variant>
      <vt:variant>
        <vt:i4>5</vt:i4>
      </vt:variant>
      <vt:variant>
        <vt:lpwstr>https://www.england.nhs.uk/wp-content/uploads/2014/03/cancer-ref-doc.pdf</vt:lpwstr>
      </vt:variant>
      <vt:variant>
        <vt:lpwstr/>
      </vt:variant>
      <vt:variant>
        <vt:i4>3735613</vt:i4>
      </vt:variant>
      <vt:variant>
        <vt:i4>2097</vt:i4>
      </vt:variant>
      <vt:variant>
        <vt:i4>0</vt:i4>
      </vt:variant>
      <vt:variant>
        <vt:i4>5</vt:i4>
      </vt:variant>
      <vt:variant>
        <vt:lpwstr>https://doi.org/10.1016/j.jval.2010.11.013</vt:lpwstr>
      </vt:variant>
      <vt:variant>
        <vt:lpwstr/>
      </vt:variant>
      <vt:variant>
        <vt:i4>5832731</vt:i4>
      </vt:variant>
      <vt:variant>
        <vt:i4>2094</vt:i4>
      </vt:variant>
      <vt:variant>
        <vt:i4>0</vt:i4>
      </vt:variant>
      <vt:variant>
        <vt:i4>5</vt:i4>
      </vt:variant>
      <vt:variant>
        <vt:lpwstr>https://doi.org/10.1046/j.1365-2354.2000.00225.x</vt:lpwstr>
      </vt:variant>
      <vt:variant>
        <vt:lpwstr/>
      </vt:variant>
      <vt:variant>
        <vt:i4>7798819</vt:i4>
      </vt:variant>
      <vt:variant>
        <vt:i4>2091</vt:i4>
      </vt:variant>
      <vt:variant>
        <vt:i4>0</vt:i4>
      </vt:variant>
      <vt:variant>
        <vt:i4>5</vt:i4>
      </vt:variant>
      <vt:variant>
        <vt:lpwstr>https://www.england.nhs.uk/wp-content/uploads/2014/03/cancer-clin-props.pdf</vt:lpwstr>
      </vt:variant>
      <vt:variant>
        <vt:lpwstr/>
      </vt:variant>
      <vt:variant>
        <vt:i4>1900555</vt:i4>
      </vt:variant>
      <vt:variant>
        <vt:i4>2088</vt:i4>
      </vt:variant>
      <vt:variant>
        <vt:i4>0</vt:i4>
      </vt:variant>
      <vt:variant>
        <vt:i4>5</vt:i4>
      </vt:variant>
      <vt:variant>
        <vt:lpwstr>https://doi.org/10.1136/bmjqs.2010.046490</vt:lpwstr>
      </vt:variant>
      <vt:variant>
        <vt:lpwstr/>
      </vt:variant>
      <vt:variant>
        <vt:i4>5308495</vt:i4>
      </vt:variant>
      <vt:variant>
        <vt:i4>2085</vt:i4>
      </vt:variant>
      <vt:variant>
        <vt:i4>0</vt:i4>
      </vt:variant>
      <vt:variant>
        <vt:i4>5</vt:i4>
      </vt:variant>
      <vt:variant>
        <vt:lpwstr>https://doi.org/10.1002/bjs.10761</vt:lpwstr>
      </vt:variant>
      <vt:variant>
        <vt:lpwstr/>
      </vt:variant>
      <vt:variant>
        <vt:i4>3735613</vt:i4>
      </vt:variant>
      <vt:variant>
        <vt:i4>2082</vt:i4>
      </vt:variant>
      <vt:variant>
        <vt:i4>0</vt:i4>
      </vt:variant>
      <vt:variant>
        <vt:i4>5</vt:i4>
      </vt:variant>
      <vt:variant>
        <vt:lpwstr>https://doi.org/10.1016/j.jval.2010.11.013</vt:lpwstr>
      </vt:variant>
      <vt:variant>
        <vt:lpwstr/>
      </vt:variant>
      <vt:variant>
        <vt:i4>5570637</vt:i4>
      </vt:variant>
      <vt:variant>
        <vt:i4>2079</vt:i4>
      </vt:variant>
      <vt:variant>
        <vt:i4>0</vt:i4>
      </vt:variant>
      <vt:variant>
        <vt:i4>5</vt:i4>
      </vt:variant>
      <vt:variant>
        <vt:lpwstr>https://doi.org/10.1002/bjs.7537</vt:lpwstr>
      </vt:variant>
      <vt:variant>
        <vt:lpwstr/>
      </vt:variant>
      <vt:variant>
        <vt:i4>6357029</vt:i4>
      </vt:variant>
      <vt:variant>
        <vt:i4>2076</vt:i4>
      </vt:variant>
      <vt:variant>
        <vt:i4>0</vt:i4>
      </vt:variant>
      <vt:variant>
        <vt:i4>5</vt:i4>
      </vt:variant>
      <vt:variant>
        <vt:lpwstr>https://doi.org/10.2147/JHL.S150924</vt:lpwstr>
      </vt:variant>
      <vt:variant>
        <vt:lpwstr/>
      </vt:variant>
      <vt:variant>
        <vt:i4>2424874</vt:i4>
      </vt:variant>
      <vt:variant>
        <vt:i4>2073</vt:i4>
      </vt:variant>
      <vt:variant>
        <vt:i4>0</vt:i4>
      </vt:variant>
      <vt:variant>
        <vt:i4>5</vt:i4>
      </vt:variant>
      <vt:variant>
        <vt:lpwstr>http://cancervanguard.nhs.uk/about/</vt:lpwstr>
      </vt:variant>
      <vt:variant>
        <vt:lpwstr/>
      </vt:variant>
      <vt:variant>
        <vt:i4>7864444</vt:i4>
      </vt:variant>
      <vt:variant>
        <vt:i4>2070</vt:i4>
      </vt:variant>
      <vt:variant>
        <vt:i4>0</vt:i4>
      </vt:variant>
      <vt:variant>
        <vt:i4>5</vt:i4>
      </vt:variant>
      <vt:variant>
        <vt:lpwstr>http://www.ncin.org.uk/cancer_information_tools/eatlas/</vt:lpwstr>
      </vt:variant>
      <vt:variant>
        <vt:lpwstr/>
      </vt:variant>
      <vt:variant>
        <vt:i4>7798819</vt:i4>
      </vt:variant>
      <vt:variant>
        <vt:i4>2067</vt:i4>
      </vt:variant>
      <vt:variant>
        <vt:i4>0</vt:i4>
      </vt:variant>
      <vt:variant>
        <vt:i4>5</vt:i4>
      </vt:variant>
      <vt:variant>
        <vt:lpwstr>https://www.england.nhs.uk/wp-content/uploads/2014/03/cancer-clin-props.pdf</vt:lpwstr>
      </vt:variant>
      <vt:variant>
        <vt:lpwstr/>
      </vt:variant>
      <vt:variant>
        <vt:i4>6815794</vt:i4>
      </vt:variant>
      <vt:variant>
        <vt:i4>2064</vt:i4>
      </vt:variant>
      <vt:variant>
        <vt:i4>0</vt:i4>
      </vt:variant>
      <vt:variant>
        <vt:i4>5</vt:i4>
      </vt:variant>
      <vt:variant>
        <vt:lpwstr>https://doi.org/10.5539/cco.v3n1p36</vt:lpwstr>
      </vt:variant>
      <vt:variant>
        <vt:lpwstr/>
      </vt:variant>
      <vt:variant>
        <vt:i4>5898256</vt:i4>
      </vt:variant>
      <vt:variant>
        <vt:i4>2061</vt:i4>
      </vt:variant>
      <vt:variant>
        <vt:i4>0</vt:i4>
      </vt:variant>
      <vt:variant>
        <vt:i4>5</vt:i4>
      </vt:variant>
      <vt:variant>
        <vt:lpwstr>https://doi.org/10.1111/j.1467-9515.2006.00489.x</vt:lpwstr>
      </vt:variant>
      <vt:variant>
        <vt:lpwstr/>
      </vt:variant>
      <vt:variant>
        <vt:i4>3866743</vt:i4>
      </vt:variant>
      <vt:variant>
        <vt:i4>2058</vt:i4>
      </vt:variant>
      <vt:variant>
        <vt:i4>0</vt:i4>
      </vt:variant>
      <vt:variant>
        <vt:i4>5</vt:i4>
      </vt:variant>
      <vt:variant>
        <vt:lpwstr>https://doi.org/10.1002/cncr.26274</vt:lpwstr>
      </vt:variant>
      <vt:variant>
        <vt:lpwstr/>
      </vt:variant>
      <vt:variant>
        <vt:i4>2031707</vt:i4>
      </vt:variant>
      <vt:variant>
        <vt:i4>2055</vt:i4>
      </vt:variant>
      <vt:variant>
        <vt:i4>0</vt:i4>
      </vt:variant>
      <vt:variant>
        <vt:i4>5</vt:i4>
      </vt:variant>
      <vt:variant>
        <vt:lpwstr>https://doi.org/10.1177/1538574413485648</vt:lpwstr>
      </vt:variant>
      <vt:variant>
        <vt:lpwstr/>
      </vt:variant>
      <vt:variant>
        <vt:i4>5898269</vt:i4>
      </vt:variant>
      <vt:variant>
        <vt:i4>2052</vt:i4>
      </vt:variant>
      <vt:variant>
        <vt:i4>0</vt:i4>
      </vt:variant>
      <vt:variant>
        <vt:i4>5</vt:i4>
      </vt:variant>
      <vt:variant>
        <vt:lpwstr>https://doi.org/10.1111/j.1365-2354.2011.01323.x</vt:lpwstr>
      </vt:variant>
      <vt:variant>
        <vt:lpwstr/>
      </vt:variant>
      <vt:variant>
        <vt:i4>5832710</vt:i4>
      </vt:variant>
      <vt:variant>
        <vt:i4>2049</vt:i4>
      </vt:variant>
      <vt:variant>
        <vt:i4>0</vt:i4>
      </vt:variant>
      <vt:variant>
        <vt:i4>5</vt:i4>
      </vt:variant>
      <vt:variant>
        <vt:lpwstr>https://doi.org/10.1097/01.ju.0000140257.05714.45</vt:lpwstr>
      </vt:variant>
      <vt:variant>
        <vt:lpwstr/>
      </vt:variant>
      <vt:variant>
        <vt:i4>2949247</vt:i4>
      </vt:variant>
      <vt:variant>
        <vt:i4>2046</vt:i4>
      </vt:variant>
      <vt:variant>
        <vt:i4>0</vt:i4>
      </vt:variant>
      <vt:variant>
        <vt:i4>5</vt:i4>
      </vt:variant>
      <vt:variant>
        <vt:lpwstr>https://www.cancerresearchuk.org/health-professional/cancer-statistics/statistics-by-cancer-type/stomach-cancer</vt:lpwstr>
      </vt:variant>
      <vt:variant>
        <vt:lpwstr/>
      </vt:variant>
      <vt:variant>
        <vt:i4>3932257</vt:i4>
      </vt:variant>
      <vt:variant>
        <vt:i4>2043</vt:i4>
      </vt:variant>
      <vt:variant>
        <vt:i4>0</vt:i4>
      </vt:variant>
      <vt:variant>
        <vt:i4>5</vt:i4>
      </vt:variant>
      <vt:variant>
        <vt:lpwstr>https://www.cancerresearchuk.org/health-professional/cancer-statistics/statistics-by-cancer-type/oesophageal-cancer</vt:lpwstr>
      </vt:variant>
      <vt:variant>
        <vt:lpwstr/>
      </vt:variant>
      <vt:variant>
        <vt:i4>327694</vt:i4>
      </vt:variant>
      <vt:variant>
        <vt:i4>2040</vt:i4>
      </vt:variant>
      <vt:variant>
        <vt:i4>0</vt:i4>
      </vt:variant>
      <vt:variant>
        <vt:i4>5</vt:i4>
      </vt:variant>
      <vt:variant>
        <vt:lpwstr>http://dx.doi.org/10.1136/gutjnl-2012-303008</vt:lpwstr>
      </vt:variant>
      <vt:variant>
        <vt:lpwstr/>
      </vt:variant>
      <vt:variant>
        <vt:i4>6750268</vt:i4>
      </vt:variant>
      <vt:variant>
        <vt:i4>2037</vt:i4>
      </vt:variant>
      <vt:variant>
        <vt:i4>0</vt:i4>
      </vt:variant>
      <vt:variant>
        <vt:i4>5</vt:i4>
      </vt:variant>
      <vt:variant>
        <vt:lpwstr>https://www.cancerresearchuk.org/health-professional/cancer-statistics/statistics-by-cancer-type/kidney-cancer</vt:lpwstr>
      </vt:variant>
      <vt:variant>
        <vt:lpwstr/>
      </vt:variant>
      <vt:variant>
        <vt:i4>2949224</vt:i4>
      </vt:variant>
      <vt:variant>
        <vt:i4>2034</vt:i4>
      </vt:variant>
      <vt:variant>
        <vt:i4>0</vt:i4>
      </vt:variant>
      <vt:variant>
        <vt:i4>5</vt:i4>
      </vt:variant>
      <vt:variant>
        <vt:lpwstr>https://www.cancerresearchuk.org/health-professional/cancer-statistics/statistics-by-cancer-type/bladder-cancer</vt:lpwstr>
      </vt:variant>
      <vt:variant>
        <vt:lpwstr/>
      </vt:variant>
      <vt:variant>
        <vt:i4>1179719</vt:i4>
      </vt:variant>
      <vt:variant>
        <vt:i4>2031</vt:i4>
      </vt:variant>
      <vt:variant>
        <vt:i4>0</vt:i4>
      </vt:variant>
      <vt:variant>
        <vt:i4>5</vt:i4>
      </vt:variant>
      <vt:variant>
        <vt:lpwstr>https://www.cancerresearchuk.org/health-professional/cancer-statistics/statistics-by-cancer-type/prostate-cancer</vt:lpwstr>
      </vt:variant>
      <vt:variant>
        <vt:lpwstr/>
      </vt:variant>
      <vt:variant>
        <vt:i4>65560</vt:i4>
      </vt:variant>
      <vt:variant>
        <vt:i4>2028</vt:i4>
      </vt:variant>
      <vt:variant>
        <vt:i4>0</vt:i4>
      </vt:variant>
      <vt:variant>
        <vt:i4>5</vt:i4>
      </vt:variant>
      <vt:variant>
        <vt:lpwstr>https://doi.org/10.1186/s13012-016-0520-5</vt:lpwstr>
      </vt:variant>
      <vt:variant>
        <vt:lpwstr/>
      </vt:variant>
      <vt:variant>
        <vt:i4>3539067</vt:i4>
      </vt:variant>
      <vt:variant>
        <vt:i4>2025</vt:i4>
      </vt:variant>
      <vt:variant>
        <vt:i4>0</vt:i4>
      </vt:variant>
      <vt:variant>
        <vt:i4>5</vt:i4>
      </vt:variant>
      <vt:variant>
        <vt:lpwstr>https://doi.org/10.1111/1467-9566.12942</vt:lpwstr>
      </vt:variant>
      <vt:variant>
        <vt:lpwstr/>
      </vt:variant>
      <vt:variant>
        <vt:i4>524318</vt:i4>
      </vt:variant>
      <vt:variant>
        <vt:i4>2022</vt:i4>
      </vt:variant>
      <vt:variant>
        <vt:i4>0</vt:i4>
      </vt:variant>
      <vt:variant>
        <vt:i4>5</vt:i4>
      </vt:variant>
      <vt:variant>
        <vt:lpwstr>https://doi.org/10.1186/s12961-017-0207-7</vt:lpwstr>
      </vt:variant>
      <vt:variant>
        <vt:lpwstr/>
      </vt:variant>
      <vt:variant>
        <vt:i4>5832774</vt:i4>
      </vt:variant>
      <vt:variant>
        <vt:i4>2019</vt:i4>
      </vt:variant>
      <vt:variant>
        <vt:i4>0</vt:i4>
      </vt:variant>
      <vt:variant>
        <vt:i4>5</vt:i4>
      </vt:variant>
      <vt:variant>
        <vt:lpwstr>https://doi.org/10.1016/j.healthpol.2017.05.009l</vt:lpwstr>
      </vt:variant>
      <vt:variant>
        <vt:lpwstr/>
      </vt:variant>
      <vt:variant>
        <vt:i4>1114197</vt:i4>
      </vt:variant>
      <vt:variant>
        <vt:i4>2016</vt:i4>
      </vt:variant>
      <vt:variant>
        <vt:i4>0</vt:i4>
      </vt:variant>
      <vt:variant>
        <vt:i4>5</vt:i4>
      </vt:variant>
      <vt:variant>
        <vt:lpwstr>https://doi.org/10.3310/hsdr07070</vt:lpwstr>
      </vt:variant>
      <vt:variant>
        <vt:lpwstr/>
      </vt:variant>
      <vt:variant>
        <vt:i4>458772</vt:i4>
      </vt:variant>
      <vt:variant>
        <vt:i4>2013</vt:i4>
      </vt:variant>
      <vt:variant>
        <vt:i4>0</vt:i4>
      </vt:variant>
      <vt:variant>
        <vt:i4>5</vt:i4>
      </vt:variant>
      <vt:variant>
        <vt:lpwstr>https://doi.org/10.1186/s13012-014-0168-y</vt:lpwstr>
      </vt:variant>
      <vt:variant>
        <vt:lpwstr/>
      </vt:variant>
      <vt:variant>
        <vt:i4>2556000</vt:i4>
      </vt:variant>
      <vt:variant>
        <vt:i4>2010</vt:i4>
      </vt:variant>
      <vt:variant>
        <vt:i4>0</vt:i4>
      </vt:variant>
      <vt:variant>
        <vt:i4>5</vt:i4>
      </vt:variant>
      <vt:variant>
        <vt:lpwstr>https://www.longtermplan.nhs.uk/publication/nhs-long-term-plan/</vt:lpwstr>
      </vt:variant>
      <vt:variant>
        <vt:lpwstr/>
      </vt:variant>
      <vt:variant>
        <vt:i4>1048590</vt:i4>
      </vt:variant>
      <vt:variant>
        <vt:i4>2007</vt:i4>
      </vt:variant>
      <vt:variant>
        <vt:i4>0</vt:i4>
      </vt:variant>
      <vt:variant>
        <vt:i4>5</vt:i4>
      </vt:variant>
      <vt:variant>
        <vt:lpwstr>https://webarchive.nationalarchives.gov.uk/20161104015825/https://www.england.nhs.uk/wp-content/uploads/2014/04/ppf-1415-1617-wa.pdf</vt:lpwstr>
      </vt:variant>
      <vt:variant>
        <vt:lpwstr/>
      </vt:variant>
      <vt:variant>
        <vt:i4>65542</vt:i4>
      </vt:variant>
      <vt:variant>
        <vt:i4>2004</vt:i4>
      </vt:variant>
      <vt:variant>
        <vt:i4>0</vt:i4>
      </vt:variant>
      <vt:variant>
        <vt:i4>5</vt:i4>
      </vt:variant>
      <vt:variant>
        <vt:lpwstr>https://www.england.nhs.uk/wp-content/uploads/2013/12/5yr-strat-plann-guid-wa.pdf</vt:lpwstr>
      </vt:variant>
      <vt:variant>
        <vt:lpwstr/>
      </vt:variant>
      <vt:variant>
        <vt:i4>5373957</vt:i4>
      </vt:variant>
      <vt:variant>
        <vt:i4>2001</vt:i4>
      </vt:variant>
      <vt:variant>
        <vt:i4>0</vt:i4>
      </vt:variant>
      <vt:variant>
        <vt:i4>5</vt:i4>
      </vt:variant>
      <vt:variant>
        <vt:lpwstr>https://doi.org/10.1136/bmj.g4757</vt:lpwstr>
      </vt:variant>
      <vt:variant>
        <vt:lpwstr/>
      </vt:variant>
      <vt:variant>
        <vt:i4>393231</vt:i4>
      </vt:variant>
      <vt:variant>
        <vt:i4>1998</vt:i4>
      </vt:variant>
      <vt:variant>
        <vt:i4>0</vt:i4>
      </vt:variant>
      <vt:variant>
        <vt:i4>5</vt:i4>
      </vt:variant>
      <vt:variant>
        <vt:lpwstr>https://doi.org/10.1161/STROKEAHA.115.009723</vt:lpwstr>
      </vt:variant>
      <vt:variant>
        <vt:lpwstr/>
      </vt:variant>
      <vt:variant>
        <vt:i4>4653057</vt:i4>
      </vt:variant>
      <vt:variant>
        <vt:i4>1995</vt:i4>
      </vt:variant>
      <vt:variant>
        <vt:i4>0</vt:i4>
      </vt:variant>
      <vt:variant>
        <vt:i4>5</vt:i4>
      </vt:variant>
      <vt:variant>
        <vt:lpwstr>https://spiral.imperial.ac.uk/bitstream/10044/1/4204/1/Cancer Control vf2.pdf</vt:lpwstr>
      </vt:variant>
      <vt:variant>
        <vt:lpwstr/>
      </vt:variant>
      <vt:variant>
        <vt:i4>983060</vt:i4>
      </vt:variant>
      <vt:variant>
        <vt:i4>1992</vt:i4>
      </vt:variant>
      <vt:variant>
        <vt:i4>0</vt:i4>
      </vt:variant>
      <vt:variant>
        <vt:i4>5</vt:i4>
      </vt:variant>
      <vt:variant>
        <vt:lpwstr>https://doi.org/10.1245/s10434-010-1159-0</vt:lpwstr>
      </vt:variant>
      <vt:variant>
        <vt:lpwstr/>
      </vt:variant>
      <vt:variant>
        <vt:i4>524292</vt:i4>
      </vt:variant>
      <vt:variant>
        <vt:i4>1989</vt:i4>
      </vt:variant>
      <vt:variant>
        <vt:i4>0</vt:i4>
      </vt:variant>
      <vt:variant>
        <vt:i4>5</vt:i4>
      </vt:variant>
      <vt:variant>
        <vt:lpwstr>https://www.nice.org.uk/guidance/csg2</vt:lpwstr>
      </vt:variant>
      <vt:variant>
        <vt:lpwstr/>
      </vt:variant>
      <vt:variant>
        <vt:i4>6225925</vt:i4>
      </vt:variant>
      <vt:variant>
        <vt:i4>1986</vt:i4>
      </vt:variant>
      <vt:variant>
        <vt:i4>0</vt:i4>
      </vt:variant>
      <vt:variant>
        <vt:i4>5</vt:i4>
      </vt:variant>
      <vt:variant>
        <vt:lpwstr>http://www.wales.nhs.uk/sites3/documents/362/UpperGIGuidance.pdf</vt:lpwstr>
      </vt:variant>
      <vt:variant>
        <vt:lpwstr/>
      </vt:variant>
      <vt:variant>
        <vt:i4>7667823</vt:i4>
      </vt:variant>
      <vt:variant>
        <vt:i4>1983</vt:i4>
      </vt:variant>
      <vt:variant>
        <vt:i4>0</vt:i4>
      </vt:variant>
      <vt:variant>
        <vt:i4>5</vt:i4>
      </vt:variant>
      <vt:variant>
        <vt:lpwstr>http://www.surginet.org.uk/misc/interview/downloads/doh/cancerfr_CALMAN_HINE.pdf</vt:lpwstr>
      </vt:variant>
      <vt:variant>
        <vt:lpwstr/>
      </vt:variant>
      <vt:variant>
        <vt:i4>5373975</vt:i4>
      </vt:variant>
      <vt:variant>
        <vt:i4>1980</vt:i4>
      </vt:variant>
      <vt:variant>
        <vt:i4>0</vt:i4>
      </vt:variant>
      <vt:variant>
        <vt:i4>5</vt:i4>
      </vt:variant>
      <vt:variant>
        <vt:lpwstr>https://doi.org/10.1111/j.1468-0009.2012.00670.x</vt:lpwstr>
      </vt:variant>
      <vt:variant>
        <vt:lpwstr/>
      </vt:variant>
      <vt:variant>
        <vt:i4>2883634</vt:i4>
      </vt:variant>
      <vt:variant>
        <vt:i4>1975</vt:i4>
      </vt:variant>
      <vt:variant>
        <vt:i4>0</vt:i4>
      </vt:variant>
      <vt:variant>
        <vt:i4>5</vt:i4>
      </vt:variant>
      <vt:variant>
        <vt:lpwstr>https://doi.org/10.1007/s40258-021-00660-6</vt:lpwstr>
      </vt:variant>
      <vt:variant>
        <vt:lpwstr/>
      </vt:variant>
      <vt:variant>
        <vt:i4>1114193</vt:i4>
      </vt:variant>
      <vt:variant>
        <vt:i4>1972</vt:i4>
      </vt:variant>
      <vt:variant>
        <vt:i4>0</vt:i4>
      </vt:variant>
      <vt:variant>
        <vt:i4>5</vt:i4>
      </vt:variant>
      <vt:variant>
        <vt:lpwstr>https://doi.org/10.1177/1355819620926553</vt:lpwstr>
      </vt:variant>
      <vt:variant>
        <vt:lpwstr/>
      </vt:variant>
      <vt:variant>
        <vt:i4>327699</vt:i4>
      </vt:variant>
      <vt:variant>
        <vt:i4>1969</vt:i4>
      </vt:variant>
      <vt:variant>
        <vt:i4>0</vt:i4>
      </vt:variant>
      <vt:variant>
        <vt:i4>5</vt:i4>
      </vt:variant>
      <vt:variant>
        <vt:lpwstr>https://doi.org/10.1186/s12885-018-4137-8</vt:lpwstr>
      </vt:variant>
      <vt:variant>
        <vt:lpwstr/>
      </vt:variant>
      <vt:variant>
        <vt:i4>65560</vt:i4>
      </vt:variant>
      <vt:variant>
        <vt:i4>1966</vt:i4>
      </vt:variant>
      <vt:variant>
        <vt:i4>0</vt:i4>
      </vt:variant>
      <vt:variant>
        <vt:i4>5</vt:i4>
      </vt:variant>
      <vt:variant>
        <vt:lpwstr>https://doi.org/10.1186/s13012-016-0520-5</vt:lpwstr>
      </vt:variant>
      <vt:variant>
        <vt:lpwstr/>
      </vt:variant>
      <vt:variant>
        <vt:i4>5308424</vt:i4>
      </vt:variant>
      <vt:variant>
        <vt:i4>1341</vt:i4>
      </vt:variant>
      <vt:variant>
        <vt:i4>0</vt:i4>
      </vt:variant>
      <vt:variant>
        <vt:i4>5</vt:i4>
      </vt:variant>
      <vt:variant>
        <vt:lpwstr>https://creativecommons.org/licenses/by/4.0/</vt:lpwstr>
      </vt:variant>
      <vt:variant>
        <vt:lpwstr/>
      </vt:variant>
      <vt:variant>
        <vt:i4>5308424</vt:i4>
      </vt:variant>
      <vt:variant>
        <vt:i4>1303</vt:i4>
      </vt:variant>
      <vt:variant>
        <vt:i4>0</vt:i4>
      </vt:variant>
      <vt:variant>
        <vt:i4>5</vt:i4>
      </vt:variant>
      <vt:variant>
        <vt:lpwstr>https://creativecommons.org/licenses/by/4.0/</vt:lpwstr>
      </vt:variant>
      <vt:variant>
        <vt:lpwstr/>
      </vt:variant>
      <vt:variant>
        <vt:i4>4325387</vt:i4>
      </vt:variant>
      <vt:variant>
        <vt:i4>1187</vt:i4>
      </vt:variant>
      <vt:variant>
        <vt:i4>0</vt:i4>
      </vt:variant>
      <vt:variant>
        <vt:i4>5</vt:i4>
      </vt:variant>
      <vt:variant>
        <vt:lpwstr/>
      </vt:variant>
      <vt:variant>
        <vt:lpwstr>_ENREF_3</vt:lpwstr>
      </vt:variant>
      <vt:variant>
        <vt:i4>1114164</vt:i4>
      </vt:variant>
      <vt:variant>
        <vt:i4>1169</vt:i4>
      </vt:variant>
      <vt:variant>
        <vt:i4>0</vt:i4>
      </vt:variant>
      <vt:variant>
        <vt:i4>5</vt:i4>
      </vt:variant>
      <vt:variant>
        <vt:lpwstr/>
      </vt:variant>
      <vt:variant>
        <vt:lpwstr>_Toc72226274</vt:lpwstr>
      </vt:variant>
      <vt:variant>
        <vt:i4>1441844</vt:i4>
      </vt:variant>
      <vt:variant>
        <vt:i4>1163</vt:i4>
      </vt:variant>
      <vt:variant>
        <vt:i4>0</vt:i4>
      </vt:variant>
      <vt:variant>
        <vt:i4>5</vt:i4>
      </vt:variant>
      <vt:variant>
        <vt:lpwstr/>
      </vt:variant>
      <vt:variant>
        <vt:lpwstr>_Toc72226273</vt:lpwstr>
      </vt:variant>
      <vt:variant>
        <vt:i4>1507380</vt:i4>
      </vt:variant>
      <vt:variant>
        <vt:i4>1157</vt:i4>
      </vt:variant>
      <vt:variant>
        <vt:i4>0</vt:i4>
      </vt:variant>
      <vt:variant>
        <vt:i4>5</vt:i4>
      </vt:variant>
      <vt:variant>
        <vt:lpwstr/>
      </vt:variant>
      <vt:variant>
        <vt:lpwstr>_Toc72226272</vt:lpwstr>
      </vt:variant>
      <vt:variant>
        <vt:i4>1310772</vt:i4>
      </vt:variant>
      <vt:variant>
        <vt:i4>1151</vt:i4>
      </vt:variant>
      <vt:variant>
        <vt:i4>0</vt:i4>
      </vt:variant>
      <vt:variant>
        <vt:i4>5</vt:i4>
      </vt:variant>
      <vt:variant>
        <vt:lpwstr/>
      </vt:variant>
      <vt:variant>
        <vt:lpwstr>_Toc72226271</vt:lpwstr>
      </vt:variant>
      <vt:variant>
        <vt:i4>1376308</vt:i4>
      </vt:variant>
      <vt:variant>
        <vt:i4>1145</vt:i4>
      </vt:variant>
      <vt:variant>
        <vt:i4>0</vt:i4>
      </vt:variant>
      <vt:variant>
        <vt:i4>5</vt:i4>
      </vt:variant>
      <vt:variant>
        <vt:lpwstr/>
      </vt:variant>
      <vt:variant>
        <vt:lpwstr>_Toc72226270</vt:lpwstr>
      </vt:variant>
      <vt:variant>
        <vt:i4>1835061</vt:i4>
      </vt:variant>
      <vt:variant>
        <vt:i4>1139</vt:i4>
      </vt:variant>
      <vt:variant>
        <vt:i4>0</vt:i4>
      </vt:variant>
      <vt:variant>
        <vt:i4>5</vt:i4>
      </vt:variant>
      <vt:variant>
        <vt:lpwstr/>
      </vt:variant>
      <vt:variant>
        <vt:lpwstr>_Toc72226269</vt:lpwstr>
      </vt:variant>
      <vt:variant>
        <vt:i4>1900597</vt:i4>
      </vt:variant>
      <vt:variant>
        <vt:i4>1133</vt:i4>
      </vt:variant>
      <vt:variant>
        <vt:i4>0</vt:i4>
      </vt:variant>
      <vt:variant>
        <vt:i4>5</vt:i4>
      </vt:variant>
      <vt:variant>
        <vt:lpwstr/>
      </vt:variant>
      <vt:variant>
        <vt:lpwstr>_Toc72226268</vt:lpwstr>
      </vt:variant>
      <vt:variant>
        <vt:i4>1179701</vt:i4>
      </vt:variant>
      <vt:variant>
        <vt:i4>1127</vt:i4>
      </vt:variant>
      <vt:variant>
        <vt:i4>0</vt:i4>
      </vt:variant>
      <vt:variant>
        <vt:i4>5</vt:i4>
      </vt:variant>
      <vt:variant>
        <vt:lpwstr/>
      </vt:variant>
      <vt:variant>
        <vt:lpwstr>_Toc72226267</vt:lpwstr>
      </vt:variant>
      <vt:variant>
        <vt:i4>1245237</vt:i4>
      </vt:variant>
      <vt:variant>
        <vt:i4>1121</vt:i4>
      </vt:variant>
      <vt:variant>
        <vt:i4>0</vt:i4>
      </vt:variant>
      <vt:variant>
        <vt:i4>5</vt:i4>
      </vt:variant>
      <vt:variant>
        <vt:lpwstr/>
      </vt:variant>
      <vt:variant>
        <vt:lpwstr>_Toc72226266</vt:lpwstr>
      </vt:variant>
      <vt:variant>
        <vt:i4>1048629</vt:i4>
      </vt:variant>
      <vt:variant>
        <vt:i4>1115</vt:i4>
      </vt:variant>
      <vt:variant>
        <vt:i4>0</vt:i4>
      </vt:variant>
      <vt:variant>
        <vt:i4>5</vt:i4>
      </vt:variant>
      <vt:variant>
        <vt:lpwstr/>
      </vt:variant>
      <vt:variant>
        <vt:lpwstr>_Toc72226265</vt:lpwstr>
      </vt:variant>
      <vt:variant>
        <vt:i4>1114165</vt:i4>
      </vt:variant>
      <vt:variant>
        <vt:i4>1109</vt:i4>
      </vt:variant>
      <vt:variant>
        <vt:i4>0</vt:i4>
      </vt:variant>
      <vt:variant>
        <vt:i4>5</vt:i4>
      </vt:variant>
      <vt:variant>
        <vt:lpwstr/>
      </vt:variant>
      <vt:variant>
        <vt:lpwstr>_Toc72226264</vt:lpwstr>
      </vt:variant>
      <vt:variant>
        <vt:i4>1441845</vt:i4>
      </vt:variant>
      <vt:variant>
        <vt:i4>1103</vt:i4>
      </vt:variant>
      <vt:variant>
        <vt:i4>0</vt:i4>
      </vt:variant>
      <vt:variant>
        <vt:i4>5</vt:i4>
      </vt:variant>
      <vt:variant>
        <vt:lpwstr/>
      </vt:variant>
      <vt:variant>
        <vt:lpwstr>_Toc72226263</vt:lpwstr>
      </vt:variant>
      <vt:variant>
        <vt:i4>1507381</vt:i4>
      </vt:variant>
      <vt:variant>
        <vt:i4>1097</vt:i4>
      </vt:variant>
      <vt:variant>
        <vt:i4>0</vt:i4>
      </vt:variant>
      <vt:variant>
        <vt:i4>5</vt:i4>
      </vt:variant>
      <vt:variant>
        <vt:lpwstr/>
      </vt:variant>
      <vt:variant>
        <vt:lpwstr>_Toc72226262</vt:lpwstr>
      </vt:variant>
      <vt:variant>
        <vt:i4>1310773</vt:i4>
      </vt:variant>
      <vt:variant>
        <vt:i4>1091</vt:i4>
      </vt:variant>
      <vt:variant>
        <vt:i4>0</vt:i4>
      </vt:variant>
      <vt:variant>
        <vt:i4>5</vt:i4>
      </vt:variant>
      <vt:variant>
        <vt:lpwstr/>
      </vt:variant>
      <vt:variant>
        <vt:lpwstr>_Toc72226261</vt:lpwstr>
      </vt:variant>
      <vt:variant>
        <vt:i4>1376309</vt:i4>
      </vt:variant>
      <vt:variant>
        <vt:i4>1085</vt:i4>
      </vt:variant>
      <vt:variant>
        <vt:i4>0</vt:i4>
      </vt:variant>
      <vt:variant>
        <vt:i4>5</vt:i4>
      </vt:variant>
      <vt:variant>
        <vt:lpwstr/>
      </vt:variant>
      <vt:variant>
        <vt:lpwstr>_Toc72226260</vt:lpwstr>
      </vt:variant>
      <vt:variant>
        <vt:i4>1835062</vt:i4>
      </vt:variant>
      <vt:variant>
        <vt:i4>1079</vt:i4>
      </vt:variant>
      <vt:variant>
        <vt:i4>0</vt:i4>
      </vt:variant>
      <vt:variant>
        <vt:i4>5</vt:i4>
      </vt:variant>
      <vt:variant>
        <vt:lpwstr/>
      </vt:variant>
      <vt:variant>
        <vt:lpwstr>_Toc72226259</vt:lpwstr>
      </vt:variant>
      <vt:variant>
        <vt:i4>1900598</vt:i4>
      </vt:variant>
      <vt:variant>
        <vt:i4>1073</vt:i4>
      </vt:variant>
      <vt:variant>
        <vt:i4>0</vt:i4>
      </vt:variant>
      <vt:variant>
        <vt:i4>5</vt:i4>
      </vt:variant>
      <vt:variant>
        <vt:lpwstr/>
      </vt:variant>
      <vt:variant>
        <vt:lpwstr>_Toc72226258</vt:lpwstr>
      </vt:variant>
      <vt:variant>
        <vt:i4>1179702</vt:i4>
      </vt:variant>
      <vt:variant>
        <vt:i4>1067</vt:i4>
      </vt:variant>
      <vt:variant>
        <vt:i4>0</vt:i4>
      </vt:variant>
      <vt:variant>
        <vt:i4>5</vt:i4>
      </vt:variant>
      <vt:variant>
        <vt:lpwstr/>
      </vt:variant>
      <vt:variant>
        <vt:lpwstr>_Toc72226257</vt:lpwstr>
      </vt:variant>
      <vt:variant>
        <vt:i4>1245238</vt:i4>
      </vt:variant>
      <vt:variant>
        <vt:i4>1061</vt:i4>
      </vt:variant>
      <vt:variant>
        <vt:i4>0</vt:i4>
      </vt:variant>
      <vt:variant>
        <vt:i4>5</vt:i4>
      </vt:variant>
      <vt:variant>
        <vt:lpwstr/>
      </vt:variant>
      <vt:variant>
        <vt:lpwstr>_Toc72226256</vt:lpwstr>
      </vt:variant>
      <vt:variant>
        <vt:i4>1048630</vt:i4>
      </vt:variant>
      <vt:variant>
        <vt:i4>1055</vt:i4>
      </vt:variant>
      <vt:variant>
        <vt:i4>0</vt:i4>
      </vt:variant>
      <vt:variant>
        <vt:i4>5</vt:i4>
      </vt:variant>
      <vt:variant>
        <vt:lpwstr/>
      </vt:variant>
      <vt:variant>
        <vt:lpwstr>_Toc72226255</vt:lpwstr>
      </vt:variant>
      <vt:variant>
        <vt:i4>1114166</vt:i4>
      </vt:variant>
      <vt:variant>
        <vt:i4>1049</vt:i4>
      </vt:variant>
      <vt:variant>
        <vt:i4>0</vt:i4>
      </vt:variant>
      <vt:variant>
        <vt:i4>5</vt:i4>
      </vt:variant>
      <vt:variant>
        <vt:lpwstr/>
      </vt:variant>
      <vt:variant>
        <vt:lpwstr>_Toc72226254</vt:lpwstr>
      </vt:variant>
      <vt:variant>
        <vt:i4>1441846</vt:i4>
      </vt:variant>
      <vt:variant>
        <vt:i4>1043</vt:i4>
      </vt:variant>
      <vt:variant>
        <vt:i4>0</vt:i4>
      </vt:variant>
      <vt:variant>
        <vt:i4>5</vt:i4>
      </vt:variant>
      <vt:variant>
        <vt:lpwstr/>
      </vt:variant>
      <vt:variant>
        <vt:lpwstr>_Toc72226253</vt:lpwstr>
      </vt:variant>
      <vt:variant>
        <vt:i4>1507382</vt:i4>
      </vt:variant>
      <vt:variant>
        <vt:i4>1037</vt:i4>
      </vt:variant>
      <vt:variant>
        <vt:i4>0</vt:i4>
      </vt:variant>
      <vt:variant>
        <vt:i4>5</vt:i4>
      </vt:variant>
      <vt:variant>
        <vt:lpwstr/>
      </vt:variant>
      <vt:variant>
        <vt:lpwstr>_Toc72226252</vt:lpwstr>
      </vt:variant>
      <vt:variant>
        <vt:i4>1310774</vt:i4>
      </vt:variant>
      <vt:variant>
        <vt:i4>1031</vt:i4>
      </vt:variant>
      <vt:variant>
        <vt:i4>0</vt:i4>
      </vt:variant>
      <vt:variant>
        <vt:i4>5</vt:i4>
      </vt:variant>
      <vt:variant>
        <vt:lpwstr/>
      </vt:variant>
      <vt:variant>
        <vt:lpwstr>_Toc72226251</vt:lpwstr>
      </vt:variant>
      <vt:variant>
        <vt:i4>1376310</vt:i4>
      </vt:variant>
      <vt:variant>
        <vt:i4>1025</vt:i4>
      </vt:variant>
      <vt:variant>
        <vt:i4>0</vt:i4>
      </vt:variant>
      <vt:variant>
        <vt:i4>5</vt:i4>
      </vt:variant>
      <vt:variant>
        <vt:lpwstr/>
      </vt:variant>
      <vt:variant>
        <vt:lpwstr>_Toc72226250</vt:lpwstr>
      </vt:variant>
      <vt:variant>
        <vt:i4>1835063</vt:i4>
      </vt:variant>
      <vt:variant>
        <vt:i4>1019</vt:i4>
      </vt:variant>
      <vt:variant>
        <vt:i4>0</vt:i4>
      </vt:variant>
      <vt:variant>
        <vt:i4>5</vt:i4>
      </vt:variant>
      <vt:variant>
        <vt:lpwstr/>
      </vt:variant>
      <vt:variant>
        <vt:lpwstr>_Toc72226249</vt:lpwstr>
      </vt:variant>
      <vt:variant>
        <vt:i4>1900599</vt:i4>
      </vt:variant>
      <vt:variant>
        <vt:i4>1013</vt:i4>
      </vt:variant>
      <vt:variant>
        <vt:i4>0</vt:i4>
      </vt:variant>
      <vt:variant>
        <vt:i4>5</vt:i4>
      </vt:variant>
      <vt:variant>
        <vt:lpwstr/>
      </vt:variant>
      <vt:variant>
        <vt:lpwstr>_Toc72226248</vt:lpwstr>
      </vt:variant>
      <vt:variant>
        <vt:i4>1245232</vt:i4>
      </vt:variant>
      <vt:variant>
        <vt:i4>1004</vt:i4>
      </vt:variant>
      <vt:variant>
        <vt:i4>0</vt:i4>
      </vt:variant>
      <vt:variant>
        <vt:i4>5</vt:i4>
      </vt:variant>
      <vt:variant>
        <vt:lpwstr/>
      </vt:variant>
      <vt:variant>
        <vt:lpwstr>_Toc72226337</vt:lpwstr>
      </vt:variant>
      <vt:variant>
        <vt:i4>1179696</vt:i4>
      </vt:variant>
      <vt:variant>
        <vt:i4>998</vt:i4>
      </vt:variant>
      <vt:variant>
        <vt:i4>0</vt:i4>
      </vt:variant>
      <vt:variant>
        <vt:i4>5</vt:i4>
      </vt:variant>
      <vt:variant>
        <vt:lpwstr/>
      </vt:variant>
      <vt:variant>
        <vt:lpwstr>_Toc72226336</vt:lpwstr>
      </vt:variant>
      <vt:variant>
        <vt:i4>1114160</vt:i4>
      </vt:variant>
      <vt:variant>
        <vt:i4>992</vt:i4>
      </vt:variant>
      <vt:variant>
        <vt:i4>0</vt:i4>
      </vt:variant>
      <vt:variant>
        <vt:i4>5</vt:i4>
      </vt:variant>
      <vt:variant>
        <vt:lpwstr/>
      </vt:variant>
      <vt:variant>
        <vt:lpwstr>_Toc72226335</vt:lpwstr>
      </vt:variant>
      <vt:variant>
        <vt:i4>1048624</vt:i4>
      </vt:variant>
      <vt:variant>
        <vt:i4>986</vt:i4>
      </vt:variant>
      <vt:variant>
        <vt:i4>0</vt:i4>
      </vt:variant>
      <vt:variant>
        <vt:i4>5</vt:i4>
      </vt:variant>
      <vt:variant>
        <vt:lpwstr/>
      </vt:variant>
      <vt:variant>
        <vt:lpwstr>_Toc72226334</vt:lpwstr>
      </vt:variant>
      <vt:variant>
        <vt:i4>1507376</vt:i4>
      </vt:variant>
      <vt:variant>
        <vt:i4>980</vt:i4>
      </vt:variant>
      <vt:variant>
        <vt:i4>0</vt:i4>
      </vt:variant>
      <vt:variant>
        <vt:i4>5</vt:i4>
      </vt:variant>
      <vt:variant>
        <vt:lpwstr/>
      </vt:variant>
      <vt:variant>
        <vt:lpwstr>_Toc72226333</vt:lpwstr>
      </vt:variant>
      <vt:variant>
        <vt:i4>1441840</vt:i4>
      </vt:variant>
      <vt:variant>
        <vt:i4>974</vt:i4>
      </vt:variant>
      <vt:variant>
        <vt:i4>0</vt:i4>
      </vt:variant>
      <vt:variant>
        <vt:i4>5</vt:i4>
      </vt:variant>
      <vt:variant>
        <vt:lpwstr/>
      </vt:variant>
      <vt:variant>
        <vt:lpwstr>_Toc72226332</vt:lpwstr>
      </vt:variant>
      <vt:variant>
        <vt:i4>1376304</vt:i4>
      </vt:variant>
      <vt:variant>
        <vt:i4>968</vt:i4>
      </vt:variant>
      <vt:variant>
        <vt:i4>0</vt:i4>
      </vt:variant>
      <vt:variant>
        <vt:i4>5</vt:i4>
      </vt:variant>
      <vt:variant>
        <vt:lpwstr/>
      </vt:variant>
      <vt:variant>
        <vt:lpwstr>_Toc72226331</vt:lpwstr>
      </vt:variant>
      <vt:variant>
        <vt:i4>1310768</vt:i4>
      </vt:variant>
      <vt:variant>
        <vt:i4>962</vt:i4>
      </vt:variant>
      <vt:variant>
        <vt:i4>0</vt:i4>
      </vt:variant>
      <vt:variant>
        <vt:i4>5</vt:i4>
      </vt:variant>
      <vt:variant>
        <vt:lpwstr/>
      </vt:variant>
      <vt:variant>
        <vt:lpwstr>_Toc72226330</vt:lpwstr>
      </vt:variant>
      <vt:variant>
        <vt:i4>1900593</vt:i4>
      </vt:variant>
      <vt:variant>
        <vt:i4>956</vt:i4>
      </vt:variant>
      <vt:variant>
        <vt:i4>0</vt:i4>
      </vt:variant>
      <vt:variant>
        <vt:i4>5</vt:i4>
      </vt:variant>
      <vt:variant>
        <vt:lpwstr/>
      </vt:variant>
      <vt:variant>
        <vt:lpwstr>_Toc72226329</vt:lpwstr>
      </vt:variant>
      <vt:variant>
        <vt:i4>1835057</vt:i4>
      </vt:variant>
      <vt:variant>
        <vt:i4>950</vt:i4>
      </vt:variant>
      <vt:variant>
        <vt:i4>0</vt:i4>
      </vt:variant>
      <vt:variant>
        <vt:i4>5</vt:i4>
      </vt:variant>
      <vt:variant>
        <vt:lpwstr/>
      </vt:variant>
      <vt:variant>
        <vt:lpwstr>_Toc72226328</vt:lpwstr>
      </vt:variant>
      <vt:variant>
        <vt:i4>1245233</vt:i4>
      </vt:variant>
      <vt:variant>
        <vt:i4>944</vt:i4>
      </vt:variant>
      <vt:variant>
        <vt:i4>0</vt:i4>
      </vt:variant>
      <vt:variant>
        <vt:i4>5</vt:i4>
      </vt:variant>
      <vt:variant>
        <vt:lpwstr/>
      </vt:variant>
      <vt:variant>
        <vt:lpwstr>_Toc72226327</vt:lpwstr>
      </vt:variant>
      <vt:variant>
        <vt:i4>1179697</vt:i4>
      </vt:variant>
      <vt:variant>
        <vt:i4>938</vt:i4>
      </vt:variant>
      <vt:variant>
        <vt:i4>0</vt:i4>
      </vt:variant>
      <vt:variant>
        <vt:i4>5</vt:i4>
      </vt:variant>
      <vt:variant>
        <vt:lpwstr/>
      </vt:variant>
      <vt:variant>
        <vt:lpwstr>_Toc72226326</vt:lpwstr>
      </vt:variant>
      <vt:variant>
        <vt:i4>1114161</vt:i4>
      </vt:variant>
      <vt:variant>
        <vt:i4>932</vt:i4>
      </vt:variant>
      <vt:variant>
        <vt:i4>0</vt:i4>
      </vt:variant>
      <vt:variant>
        <vt:i4>5</vt:i4>
      </vt:variant>
      <vt:variant>
        <vt:lpwstr/>
      </vt:variant>
      <vt:variant>
        <vt:lpwstr>_Toc72226325</vt:lpwstr>
      </vt:variant>
      <vt:variant>
        <vt:i4>1048625</vt:i4>
      </vt:variant>
      <vt:variant>
        <vt:i4>926</vt:i4>
      </vt:variant>
      <vt:variant>
        <vt:i4>0</vt:i4>
      </vt:variant>
      <vt:variant>
        <vt:i4>5</vt:i4>
      </vt:variant>
      <vt:variant>
        <vt:lpwstr/>
      </vt:variant>
      <vt:variant>
        <vt:lpwstr>_Toc72226324</vt:lpwstr>
      </vt:variant>
      <vt:variant>
        <vt:i4>1507377</vt:i4>
      </vt:variant>
      <vt:variant>
        <vt:i4>920</vt:i4>
      </vt:variant>
      <vt:variant>
        <vt:i4>0</vt:i4>
      </vt:variant>
      <vt:variant>
        <vt:i4>5</vt:i4>
      </vt:variant>
      <vt:variant>
        <vt:lpwstr/>
      </vt:variant>
      <vt:variant>
        <vt:lpwstr>_Toc72226323</vt:lpwstr>
      </vt:variant>
      <vt:variant>
        <vt:i4>1441841</vt:i4>
      </vt:variant>
      <vt:variant>
        <vt:i4>914</vt:i4>
      </vt:variant>
      <vt:variant>
        <vt:i4>0</vt:i4>
      </vt:variant>
      <vt:variant>
        <vt:i4>5</vt:i4>
      </vt:variant>
      <vt:variant>
        <vt:lpwstr/>
      </vt:variant>
      <vt:variant>
        <vt:lpwstr>_Toc72226322</vt:lpwstr>
      </vt:variant>
      <vt:variant>
        <vt:i4>1376305</vt:i4>
      </vt:variant>
      <vt:variant>
        <vt:i4>908</vt:i4>
      </vt:variant>
      <vt:variant>
        <vt:i4>0</vt:i4>
      </vt:variant>
      <vt:variant>
        <vt:i4>5</vt:i4>
      </vt:variant>
      <vt:variant>
        <vt:lpwstr/>
      </vt:variant>
      <vt:variant>
        <vt:lpwstr>_Toc72226321</vt:lpwstr>
      </vt:variant>
      <vt:variant>
        <vt:i4>1310769</vt:i4>
      </vt:variant>
      <vt:variant>
        <vt:i4>902</vt:i4>
      </vt:variant>
      <vt:variant>
        <vt:i4>0</vt:i4>
      </vt:variant>
      <vt:variant>
        <vt:i4>5</vt:i4>
      </vt:variant>
      <vt:variant>
        <vt:lpwstr/>
      </vt:variant>
      <vt:variant>
        <vt:lpwstr>_Toc72226320</vt:lpwstr>
      </vt:variant>
      <vt:variant>
        <vt:i4>1900594</vt:i4>
      </vt:variant>
      <vt:variant>
        <vt:i4>896</vt:i4>
      </vt:variant>
      <vt:variant>
        <vt:i4>0</vt:i4>
      </vt:variant>
      <vt:variant>
        <vt:i4>5</vt:i4>
      </vt:variant>
      <vt:variant>
        <vt:lpwstr/>
      </vt:variant>
      <vt:variant>
        <vt:lpwstr>_Toc72226319</vt:lpwstr>
      </vt:variant>
      <vt:variant>
        <vt:i4>1835058</vt:i4>
      </vt:variant>
      <vt:variant>
        <vt:i4>890</vt:i4>
      </vt:variant>
      <vt:variant>
        <vt:i4>0</vt:i4>
      </vt:variant>
      <vt:variant>
        <vt:i4>5</vt:i4>
      </vt:variant>
      <vt:variant>
        <vt:lpwstr/>
      </vt:variant>
      <vt:variant>
        <vt:lpwstr>_Toc72226318</vt:lpwstr>
      </vt:variant>
      <vt:variant>
        <vt:i4>1245234</vt:i4>
      </vt:variant>
      <vt:variant>
        <vt:i4>884</vt:i4>
      </vt:variant>
      <vt:variant>
        <vt:i4>0</vt:i4>
      </vt:variant>
      <vt:variant>
        <vt:i4>5</vt:i4>
      </vt:variant>
      <vt:variant>
        <vt:lpwstr/>
      </vt:variant>
      <vt:variant>
        <vt:lpwstr>_Toc72226317</vt:lpwstr>
      </vt:variant>
      <vt:variant>
        <vt:i4>1179698</vt:i4>
      </vt:variant>
      <vt:variant>
        <vt:i4>878</vt:i4>
      </vt:variant>
      <vt:variant>
        <vt:i4>0</vt:i4>
      </vt:variant>
      <vt:variant>
        <vt:i4>5</vt:i4>
      </vt:variant>
      <vt:variant>
        <vt:lpwstr/>
      </vt:variant>
      <vt:variant>
        <vt:lpwstr>_Toc72226316</vt:lpwstr>
      </vt:variant>
      <vt:variant>
        <vt:i4>1114162</vt:i4>
      </vt:variant>
      <vt:variant>
        <vt:i4>872</vt:i4>
      </vt:variant>
      <vt:variant>
        <vt:i4>0</vt:i4>
      </vt:variant>
      <vt:variant>
        <vt:i4>5</vt:i4>
      </vt:variant>
      <vt:variant>
        <vt:lpwstr/>
      </vt:variant>
      <vt:variant>
        <vt:lpwstr>_Toc72226315</vt:lpwstr>
      </vt:variant>
      <vt:variant>
        <vt:i4>1048626</vt:i4>
      </vt:variant>
      <vt:variant>
        <vt:i4>866</vt:i4>
      </vt:variant>
      <vt:variant>
        <vt:i4>0</vt:i4>
      </vt:variant>
      <vt:variant>
        <vt:i4>5</vt:i4>
      </vt:variant>
      <vt:variant>
        <vt:lpwstr/>
      </vt:variant>
      <vt:variant>
        <vt:lpwstr>_Toc72226314</vt:lpwstr>
      </vt:variant>
      <vt:variant>
        <vt:i4>1507378</vt:i4>
      </vt:variant>
      <vt:variant>
        <vt:i4>860</vt:i4>
      </vt:variant>
      <vt:variant>
        <vt:i4>0</vt:i4>
      </vt:variant>
      <vt:variant>
        <vt:i4>5</vt:i4>
      </vt:variant>
      <vt:variant>
        <vt:lpwstr/>
      </vt:variant>
      <vt:variant>
        <vt:lpwstr>_Toc72226313</vt:lpwstr>
      </vt:variant>
      <vt:variant>
        <vt:i4>1441842</vt:i4>
      </vt:variant>
      <vt:variant>
        <vt:i4>854</vt:i4>
      </vt:variant>
      <vt:variant>
        <vt:i4>0</vt:i4>
      </vt:variant>
      <vt:variant>
        <vt:i4>5</vt:i4>
      </vt:variant>
      <vt:variant>
        <vt:lpwstr/>
      </vt:variant>
      <vt:variant>
        <vt:lpwstr>_Toc72226312</vt:lpwstr>
      </vt:variant>
      <vt:variant>
        <vt:i4>1376306</vt:i4>
      </vt:variant>
      <vt:variant>
        <vt:i4>848</vt:i4>
      </vt:variant>
      <vt:variant>
        <vt:i4>0</vt:i4>
      </vt:variant>
      <vt:variant>
        <vt:i4>5</vt:i4>
      </vt:variant>
      <vt:variant>
        <vt:lpwstr/>
      </vt:variant>
      <vt:variant>
        <vt:lpwstr>_Toc72226311</vt:lpwstr>
      </vt:variant>
      <vt:variant>
        <vt:i4>1310770</vt:i4>
      </vt:variant>
      <vt:variant>
        <vt:i4>842</vt:i4>
      </vt:variant>
      <vt:variant>
        <vt:i4>0</vt:i4>
      </vt:variant>
      <vt:variant>
        <vt:i4>5</vt:i4>
      </vt:variant>
      <vt:variant>
        <vt:lpwstr/>
      </vt:variant>
      <vt:variant>
        <vt:lpwstr>_Toc72226310</vt:lpwstr>
      </vt:variant>
      <vt:variant>
        <vt:i4>1900595</vt:i4>
      </vt:variant>
      <vt:variant>
        <vt:i4>836</vt:i4>
      </vt:variant>
      <vt:variant>
        <vt:i4>0</vt:i4>
      </vt:variant>
      <vt:variant>
        <vt:i4>5</vt:i4>
      </vt:variant>
      <vt:variant>
        <vt:lpwstr/>
      </vt:variant>
      <vt:variant>
        <vt:lpwstr>_Toc72226309</vt:lpwstr>
      </vt:variant>
      <vt:variant>
        <vt:i4>1835059</vt:i4>
      </vt:variant>
      <vt:variant>
        <vt:i4>830</vt:i4>
      </vt:variant>
      <vt:variant>
        <vt:i4>0</vt:i4>
      </vt:variant>
      <vt:variant>
        <vt:i4>5</vt:i4>
      </vt:variant>
      <vt:variant>
        <vt:lpwstr/>
      </vt:variant>
      <vt:variant>
        <vt:lpwstr>_Toc72226308</vt:lpwstr>
      </vt:variant>
      <vt:variant>
        <vt:i4>1245235</vt:i4>
      </vt:variant>
      <vt:variant>
        <vt:i4>824</vt:i4>
      </vt:variant>
      <vt:variant>
        <vt:i4>0</vt:i4>
      </vt:variant>
      <vt:variant>
        <vt:i4>5</vt:i4>
      </vt:variant>
      <vt:variant>
        <vt:lpwstr/>
      </vt:variant>
      <vt:variant>
        <vt:lpwstr>_Toc72226307</vt:lpwstr>
      </vt:variant>
      <vt:variant>
        <vt:i4>1179699</vt:i4>
      </vt:variant>
      <vt:variant>
        <vt:i4>818</vt:i4>
      </vt:variant>
      <vt:variant>
        <vt:i4>0</vt:i4>
      </vt:variant>
      <vt:variant>
        <vt:i4>5</vt:i4>
      </vt:variant>
      <vt:variant>
        <vt:lpwstr/>
      </vt:variant>
      <vt:variant>
        <vt:lpwstr>_Toc72226306</vt:lpwstr>
      </vt:variant>
      <vt:variant>
        <vt:i4>1114163</vt:i4>
      </vt:variant>
      <vt:variant>
        <vt:i4>812</vt:i4>
      </vt:variant>
      <vt:variant>
        <vt:i4>0</vt:i4>
      </vt:variant>
      <vt:variant>
        <vt:i4>5</vt:i4>
      </vt:variant>
      <vt:variant>
        <vt:lpwstr/>
      </vt:variant>
      <vt:variant>
        <vt:lpwstr>_Toc72226305</vt:lpwstr>
      </vt:variant>
      <vt:variant>
        <vt:i4>1048627</vt:i4>
      </vt:variant>
      <vt:variant>
        <vt:i4>806</vt:i4>
      </vt:variant>
      <vt:variant>
        <vt:i4>0</vt:i4>
      </vt:variant>
      <vt:variant>
        <vt:i4>5</vt:i4>
      </vt:variant>
      <vt:variant>
        <vt:lpwstr/>
      </vt:variant>
      <vt:variant>
        <vt:lpwstr>_Toc72226304</vt:lpwstr>
      </vt:variant>
      <vt:variant>
        <vt:i4>1507379</vt:i4>
      </vt:variant>
      <vt:variant>
        <vt:i4>800</vt:i4>
      </vt:variant>
      <vt:variant>
        <vt:i4>0</vt:i4>
      </vt:variant>
      <vt:variant>
        <vt:i4>5</vt:i4>
      </vt:variant>
      <vt:variant>
        <vt:lpwstr/>
      </vt:variant>
      <vt:variant>
        <vt:lpwstr>_Toc72226303</vt:lpwstr>
      </vt:variant>
      <vt:variant>
        <vt:i4>1441843</vt:i4>
      </vt:variant>
      <vt:variant>
        <vt:i4>794</vt:i4>
      </vt:variant>
      <vt:variant>
        <vt:i4>0</vt:i4>
      </vt:variant>
      <vt:variant>
        <vt:i4>5</vt:i4>
      </vt:variant>
      <vt:variant>
        <vt:lpwstr/>
      </vt:variant>
      <vt:variant>
        <vt:lpwstr>_Toc72226302</vt:lpwstr>
      </vt:variant>
      <vt:variant>
        <vt:i4>1376307</vt:i4>
      </vt:variant>
      <vt:variant>
        <vt:i4>788</vt:i4>
      </vt:variant>
      <vt:variant>
        <vt:i4>0</vt:i4>
      </vt:variant>
      <vt:variant>
        <vt:i4>5</vt:i4>
      </vt:variant>
      <vt:variant>
        <vt:lpwstr/>
      </vt:variant>
      <vt:variant>
        <vt:lpwstr>_Toc72226301</vt:lpwstr>
      </vt:variant>
      <vt:variant>
        <vt:i4>1310771</vt:i4>
      </vt:variant>
      <vt:variant>
        <vt:i4>782</vt:i4>
      </vt:variant>
      <vt:variant>
        <vt:i4>0</vt:i4>
      </vt:variant>
      <vt:variant>
        <vt:i4>5</vt:i4>
      </vt:variant>
      <vt:variant>
        <vt:lpwstr/>
      </vt:variant>
      <vt:variant>
        <vt:lpwstr>_Toc72226300</vt:lpwstr>
      </vt:variant>
      <vt:variant>
        <vt:i4>1835066</vt:i4>
      </vt:variant>
      <vt:variant>
        <vt:i4>776</vt:i4>
      </vt:variant>
      <vt:variant>
        <vt:i4>0</vt:i4>
      </vt:variant>
      <vt:variant>
        <vt:i4>5</vt:i4>
      </vt:variant>
      <vt:variant>
        <vt:lpwstr/>
      </vt:variant>
      <vt:variant>
        <vt:lpwstr>_Toc72226299</vt:lpwstr>
      </vt:variant>
      <vt:variant>
        <vt:i4>1900602</vt:i4>
      </vt:variant>
      <vt:variant>
        <vt:i4>770</vt:i4>
      </vt:variant>
      <vt:variant>
        <vt:i4>0</vt:i4>
      </vt:variant>
      <vt:variant>
        <vt:i4>5</vt:i4>
      </vt:variant>
      <vt:variant>
        <vt:lpwstr/>
      </vt:variant>
      <vt:variant>
        <vt:lpwstr>_Toc72226298</vt:lpwstr>
      </vt:variant>
      <vt:variant>
        <vt:i4>1179706</vt:i4>
      </vt:variant>
      <vt:variant>
        <vt:i4>764</vt:i4>
      </vt:variant>
      <vt:variant>
        <vt:i4>0</vt:i4>
      </vt:variant>
      <vt:variant>
        <vt:i4>5</vt:i4>
      </vt:variant>
      <vt:variant>
        <vt:lpwstr/>
      </vt:variant>
      <vt:variant>
        <vt:lpwstr>_Toc72226297</vt:lpwstr>
      </vt:variant>
      <vt:variant>
        <vt:i4>1245242</vt:i4>
      </vt:variant>
      <vt:variant>
        <vt:i4>758</vt:i4>
      </vt:variant>
      <vt:variant>
        <vt:i4>0</vt:i4>
      </vt:variant>
      <vt:variant>
        <vt:i4>5</vt:i4>
      </vt:variant>
      <vt:variant>
        <vt:lpwstr/>
      </vt:variant>
      <vt:variant>
        <vt:lpwstr>_Toc72226296</vt:lpwstr>
      </vt:variant>
      <vt:variant>
        <vt:i4>1048634</vt:i4>
      </vt:variant>
      <vt:variant>
        <vt:i4>752</vt:i4>
      </vt:variant>
      <vt:variant>
        <vt:i4>0</vt:i4>
      </vt:variant>
      <vt:variant>
        <vt:i4>5</vt:i4>
      </vt:variant>
      <vt:variant>
        <vt:lpwstr/>
      </vt:variant>
      <vt:variant>
        <vt:lpwstr>_Toc72226295</vt:lpwstr>
      </vt:variant>
      <vt:variant>
        <vt:i4>1114170</vt:i4>
      </vt:variant>
      <vt:variant>
        <vt:i4>746</vt:i4>
      </vt:variant>
      <vt:variant>
        <vt:i4>0</vt:i4>
      </vt:variant>
      <vt:variant>
        <vt:i4>5</vt:i4>
      </vt:variant>
      <vt:variant>
        <vt:lpwstr/>
      </vt:variant>
      <vt:variant>
        <vt:lpwstr>_Toc72226294</vt:lpwstr>
      </vt:variant>
      <vt:variant>
        <vt:i4>1441850</vt:i4>
      </vt:variant>
      <vt:variant>
        <vt:i4>740</vt:i4>
      </vt:variant>
      <vt:variant>
        <vt:i4>0</vt:i4>
      </vt:variant>
      <vt:variant>
        <vt:i4>5</vt:i4>
      </vt:variant>
      <vt:variant>
        <vt:lpwstr/>
      </vt:variant>
      <vt:variant>
        <vt:lpwstr>_Toc72226293</vt:lpwstr>
      </vt:variant>
      <vt:variant>
        <vt:i4>1507386</vt:i4>
      </vt:variant>
      <vt:variant>
        <vt:i4>734</vt:i4>
      </vt:variant>
      <vt:variant>
        <vt:i4>0</vt:i4>
      </vt:variant>
      <vt:variant>
        <vt:i4>5</vt:i4>
      </vt:variant>
      <vt:variant>
        <vt:lpwstr/>
      </vt:variant>
      <vt:variant>
        <vt:lpwstr>_Toc72226292</vt:lpwstr>
      </vt:variant>
      <vt:variant>
        <vt:i4>1310778</vt:i4>
      </vt:variant>
      <vt:variant>
        <vt:i4>728</vt:i4>
      </vt:variant>
      <vt:variant>
        <vt:i4>0</vt:i4>
      </vt:variant>
      <vt:variant>
        <vt:i4>5</vt:i4>
      </vt:variant>
      <vt:variant>
        <vt:lpwstr/>
      </vt:variant>
      <vt:variant>
        <vt:lpwstr>_Toc72226291</vt:lpwstr>
      </vt:variant>
      <vt:variant>
        <vt:i4>1376314</vt:i4>
      </vt:variant>
      <vt:variant>
        <vt:i4>722</vt:i4>
      </vt:variant>
      <vt:variant>
        <vt:i4>0</vt:i4>
      </vt:variant>
      <vt:variant>
        <vt:i4>5</vt:i4>
      </vt:variant>
      <vt:variant>
        <vt:lpwstr/>
      </vt:variant>
      <vt:variant>
        <vt:lpwstr>_Toc72226290</vt:lpwstr>
      </vt:variant>
      <vt:variant>
        <vt:i4>1835067</vt:i4>
      </vt:variant>
      <vt:variant>
        <vt:i4>716</vt:i4>
      </vt:variant>
      <vt:variant>
        <vt:i4>0</vt:i4>
      </vt:variant>
      <vt:variant>
        <vt:i4>5</vt:i4>
      </vt:variant>
      <vt:variant>
        <vt:lpwstr/>
      </vt:variant>
      <vt:variant>
        <vt:lpwstr>_Toc72226289</vt:lpwstr>
      </vt:variant>
      <vt:variant>
        <vt:i4>1900603</vt:i4>
      </vt:variant>
      <vt:variant>
        <vt:i4>710</vt:i4>
      </vt:variant>
      <vt:variant>
        <vt:i4>0</vt:i4>
      </vt:variant>
      <vt:variant>
        <vt:i4>5</vt:i4>
      </vt:variant>
      <vt:variant>
        <vt:lpwstr/>
      </vt:variant>
      <vt:variant>
        <vt:lpwstr>_Toc72226288</vt:lpwstr>
      </vt:variant>
      <vt:variant>
        <vt:i4>1179707</vt:i4>
      </vt:variant>
      <vt:variant>
        <vt:i4>704</vt:i4>
      </vt:variant>
      <vt:variant>
        <vt:i4>0</vt:i4>
      </vt:variant>
      <vt:variant>
        <vt:i4>5</vt:i4>
      </vt:variant>
      <vt:variant>
        <vt:lpwstr/>
      </vt:variant>
      <vt:variant>
        <vt:lpwstr>_Toc72226287</vt:lpwstr>
      </vt:variant>
      <vt:variant>
        <vt:i4>1245243</vt:i4>
      </vt:variant>
      <vt:variant>
        <vt:i4>698</vt:i4>
      </vt:variant>
      <vt:variant>
        <vt:i4>0</vt:i4>
      </vt:variant>
      <vt:variant>
        <vt:i4>5</vt:i4>
      </vt:variant>
      <vt:variant>
        <vt:lpwstr/>
      </vt:variant>
      <vt:variant>
        <vt:lpwstr>_Toc72226286</vt:lpwstr>
      </vt:variant>
      <vt:variant>
        <vt:i4>1048635</vt:i4>
      </vt:variant>
      <vt:variant>
        <vt:i4>692</vt:i4>
      </vt:variant>
      <vt:variant>
        <vt:i4>0</vt:i4>
      </vt:variant>
      <vt:variant>
        <vt:i4>5</vt:i4>
      </vt:variant>
      <vt:variant>
        <vt:lpwstr/>
      </vt:variant>
      <vt:variant>
        <vt:lpwstr>_Toc72226285</vt:lpwstr>
      </vt:variant>
      <vt:variant>
        <vt:i4>1114171</vt:i4>
      </vt:variant>
      <vt:variant>
        <vt:i4>686</vt:i4>
      </vt:variant>
      <vt:variant>
        <vt:i4>0</vt:i4>
      </vt:variant>
      <vt:variant>
        <vt:i4>5</vt:i4>
      </vt:variant>
      <vt:variant>
        <vt:lpwstr/>
      </vt:variant>
      <vt:variant>
        <vt:lpwstr>_Toc72226284</vt:lpwstr>
      </vt:variant>
      <vt:variant>
        <vt:i4>1441851</vt:i4>
      </vt:variant>
      <vt:variant>
        <vt:i4>680</vt:i4>
      </vt:variant>
      <vt:variant>
        <vt:i4>0</vt:i4>
      </vt:variant>
      <vt:variant>
        <vt:i4>5</vt:i4>
      </vt:variant>
      <vt:variant>
        <vt:lpwstr/>
      </vt:variant>
      <vt:variant>
        <vt:lpwstr>_Toc72226283</vt:lpwstr>
      </vt:variant>
      <vt:variant>
        <vt:i4>1507387</vt:i4>
      </vt:variant>
      <vt:variant>
        <vt:i4>674</vt:i4>
      </vt:variant>
      <vt:variant>
        <vt:i4>0</vt:i4>
      </vt:variant>
      <vt:variant>
        <vt:i4>5</vt:i4>
      </vt:variant>
      <vt:variant>
        <vt:lpwstr/>
      </vt:variant>
      <vt:variant>
        <vt:lpwstr>_Toc72226282</vt:lpwstr>
      </vt:variant>
      <vt:variant>
        <vt:i4>1310779</vt:i4>
      </vt:variant>
      <vt:variant>
        <vt:i4>668</vt:i4>
      </vt:variant>
      <vt:variant>
        <vt:i4>0</vt:i4>
      </vt:variant>
      <vt:variant>
        <vt:i4>5</vt:i4>
      </vt:variant>
      <vt:variant>
        <vt:lpwstr/>
      </vt:variant>
      <vt:variant>
        <vt:lpwstr>_Toc72226281</vt:lpwstr>
      </vt:variant>
      <vt:variant>
        <vt:i4>1376315</vt:i4>
      </vt:variant>
      <vt:variant>
        <vt:i4>662</vt:i4>
      </vt:variant>
      <vt:variant>
        <vt:i4>0</vt:i4>
      </vt:variant>
      <vt:variant>
        <vt:i4>5</vt:i4>
      </vt:variant>
      <vt:variant>
        <vt:lpwstr/>
      </vt:variant>
      <vt:variant>
        <vt:lpwstr>_Toc72226280</vt:lpwstr>
      </vt:variant>
      <vt:variant>
        <vt:i4>1835060</vt:i4>
      </vt:variant>
      <vt:variant>
        <vt:i4>656</vt:i4>
      </vt:variant>
      <vt:variant>
        <vt:i4>0</vt:i4>
      </vt:variant>
      <vt:variant>
        <vt:i4>5</vt:i4>
      </vt:variant>
      <vt:variant>
        <vt:lpwstr/>
      </vt:variant>
      <vt:variant>
        <vt:lpwstr>_Toc72226279</vt:lpwstr>
      </vt:variant>
      <vt:variant>
        <vt:i4>1900596</vt:i4>
      </vt:variant>
      <vt:variant>
        <vt:i4>650</vt:i4>
      </vt:variant>
      <vt:variant>
        <vt:i4>0</vt:i4>
      </vt:variant>
      <vt:variant>
        <vt:i4>5</vt:i4>
      </vt:variant>
      <vt:variant>
        <vt:lpwstr/>
      </vt:variant>
      <vt:variant>
        <vt:lpwstr>_Toc72226278</vt:lpwstr>
      </vt:variant>
      <vt:variant>
        <vt:i4>1179700</vt:i4>
      </vt:variant>
      <vt:variant>
        <vt:i4>644</vt:i4>
      </vt:variant>
      <vt:variant>
        <vt:i4>0</vt:i4>
      </vt:variant>
      <vt:variant>
        <vt:i4>5</vt:i4>
      </vt:variant>
      <vt:variant>
        <vt:lpwstr/>
      </vt:variant>
      <vt:variant>
        <vt:lpwstr>_Toc72226277</vt:lpwstr>
      </vt:variant>
      <vt:variant>
        <vt:i4>1245236</vt:i4>
      </vt:variant>
      <vt:variant>
        <vt:i4>638</vt:i4>
      </vt:variant>
      <vt:variant>
        <vt:i4>0</vt:i4>
      </vt:variant>
      <vt:variant>
        <vt:i4>5</vt:i4>
      </vt:variant>
      <vt:variant>
        <vt:lpwstr/>
      </vt:variant>
      <vt:variant>
        <vt:lpwstr>_Toc72226276</vt:lpwstr>
      </vt:variant>
      <vt:variant>
        <vt:i4>1048628</vt:i4>
      </vt:variant>
      <vt:variant>
        <vt:i4>632</vt:i4>
      </vt:variant>
      <vt:variant>
        <vt:i4>0</vt:i4>
      </vt:variant>
      <vt:variant>
        <vt:i4>5</vt:i4>
      </vt:variant>
      <vt:variant>
        <vt:lpwstr/>
      </vt:variant>
      <vt:variant>
        <vt:lpwstr>_Toc72226275</vt:lpwstr>
      </vt:variant>
      <vt:variant>
        <vt:i4>1835071</vt:i4>
      </vt:variant>
      <vt:variant>
        <vt:i4>623</vt:i4>
      </vt:variant>
      <vt:variant>
        <vt:i4>0</vt:i4>
      </vt:variant>
      <vt:variant>
        <vt:i4>5</vt:i4>
      </vt:variant>
      <vt:variant>
        <vt:lpwstr/>
      </vt:variant>
      <vt:variant>
        <vt:lpwstr>_Toc71812922</vt:lpwstr>
      </vt:variant>
      <vt:variant>
        <vt:i4>2031679</vt:i4>
      </vt:variant>
      <vt:variant>
        <vt:i4>617</vt:i4>
      </vt:variant>
      <vt:variant>
        <vt:i4>0</vt:i4>
      </vt:variant>
      <vt:variant>
        <vt:i4>5</vt:i4>
      </vt:variant>
      <vt:variant>
        <vt:lpwstr/>
      </vt:variant>
      <vt:variant>
        <vt:lpwstr>_Toc71812921</vt:lpwstr>
      </vt:variant>
      <vt:variant>
        <vt:i4>1966143</vt:i4>
      </vt:variant>
      <vt:variant>
        <vt:i4>611</vt:i4>
      </vt:variant>
      <vt:variant>
        <vt:i4>0</vt:i4>
      </vt:variant>
      <vt:variant>
        <vt:i4>5</vt:i4>
      </vt:variant>
      <vt:variant>
        <vt:lpwstr/>
      </vt:variant>
      <vt:variant>
        <vt:lpwstr>_Toc71812920</vt:lpwstr>
      </vt:variant>
      <vt:variant>
        <vt:i4>1507388</vt:i4>
      </vt:variant>
      <vt:variant>
        <vt:i4>605</vt:i4>
      </vt:variant>
      <vt:variant>
        <vt:i4>0</vt:i4>
      </vt:variant>
      <vt:variant>
        <vt:i4>5</vt:i4>
      </vt:variant>
      <vt:variant>
        <vt:lpwstr/>
      </vt:variant>
      <vt:variant>
        <vt:lpwstr>_Toc71812919</vt:lpwstr>
      </vt:variant>
      <vt:variant>
        <vt:i4>1441852</vt:i4>
      </vt:variant>
      <vt:variant>
        <vt:i4>599</vt:i4>
      </vt:variant>
      <vt:variant>
        <vt:i4>0</vt:i4>
      </vt:variant>
      <vt:variant>
        <vt:i4>5</vt:i4>
      </vt:variant>
      <vt:variant>
        <vt:lpwstr/>
      </vt:variant>
      <vt:variant>
        <vt:lpwstr>_Toc71812918</vt:lpwstr>
      </vt:variant>
      <vt:variant>
        <vt:i4>1638460</vt:i4>
      </vt:variant>
      <vt:variant>
        <vt:i4>593</vt:i4>
      </vt:variant>
      <vt:variant>
        <vt:i4>0</vt:i4>
      </vt:variant>
      <vt:variant>
        <vt:i4>5</vt:i4>
      </vt:variant>
      <vt:variant>
        <vt:lpwstr/>
      </vt:variant>
      <vt:variant>
        <vt:lpwstr>_Toc71812917</vt:lpwstr>
      </vt:variant>
      <vt:variant>
        <vt:i4>1572924</vt:i4>
      </vt:variant>
      <vt:variant>
        <vt:i4>587</vt:i4>
      </vt:variant>
      <vt:variant>
        <vt:i4>0</vt:i4>
      </vt:variant>
      <vt:variant>
        <vt:i4>5</vt:i4>
      </vt:variant>
      <vt:variant>
        <vt:lpwstr/>
      </vt:variant>
      <vt:variant>
        <vt:lpwstr>_Toc71812916</vt:lpwstr>
      </vt:variant>
      <vt:variant>
        <vt:i4>1769532</vt:i4>
      </vt:variant>
      <vt:variant>
        <vt:i4>581</vt:i4>
      </vt:variant>
      <vt:variant>
        <vt:i4>0</vt:i4>
      </vt:variant>
      <vt:variant>
        <vt:i4>5</vt:i4>
      </vt:variant>
      <vt:variant>
        <vt:lpwstr/>
      </vt:variant>
      <vt:variant>
        <vt:lpwstr>_Toc71812915</vt:lpwstr>
      </vt:variant>
      <vt:variant>
        <vt:i4>1703996</vt:i4>
      </vt:variant>
      <vt:variant>
        <vt:i4>575</vt:i4>
      </vt:variant>
      <vt:variant>
        <vt:i4>0</vt:i4>
      </vt:variant>
      <vt:variant>
        <vt:i4>5</vt:i4>
      </vt:variant>
      <vt:variant>
        <vt:lpwstr/>
      </vt:variant>
      <vt:variant>
        <vt:lpwstr>_Toc71812914</vt:lpwstr>
      </vt:variant>
      <vt:variant>
        <vt:i4>1900604</vt:i4>
      </vt:variant>
      <vt:variant>
        <vt:i4>569</vt:i4>
      </vt:variant>
      <vt:variant>
        <vt:i4>0</vt:i4>
      </vt:variant>
      <vt:variant>
        <vt:i4>5</vt:i4>
      </vt:variant>
      <vt:variant>
        <vt:lpwstr/>
      </vt:variant>
      <vt:variant>
        <vt:lpwstr>_Toc71812913</vt:lpwstr>
      </vt:variant>
      <vt:variant>
        <vt:i4>1835068</vt:i4>
      </vt:variant>
      <vt:variant>
        <vt:i4>563</vt:i4>
      </vt:variant>
      <vt:variant>
        <vt:i4>0</vt:i4>
      </vt:variant>
      <vt:variant>
        <vt:i4>5</vt:i4>
      </vt:variant>
      <vt:variant>
        <vt:lpwstr/>
      </vt:variant>
      <vt:variant>
        <vt:lpwstr>_Toc71812912</vt:lpwstr>
      </vt:variant>
      <vt:variant>
        <vt:i4>2031676</vt:i4>
      </vt:variant>
      <vt:variant>
        <vt:i4>557</vt:i4>
      </vt:variant>
      <vt:variant>
        <vt:i4>0</vt:i4>
      </vt:variant>
      <vt:variant>
        <vt:i4>5</vt:i4>
      </vt:variant>
      <vt:variant>
        <vt:lpwstr/>
      </vt:variant>
      <vt:variant>
        <vt:lpwstr>_Toc71812911</vt:lpwstr>
      </vt:variant>
      <vt:variant>
        <vt:i4>1966140</vt:i4>
      </vt:variant>
      <vt:variant>
        <vt:i4>551</vt:i4>
      </vt:variant>
      <vt:variant>
        <vt:i4>0</vt:i4>
      </vt:variant>
      <vt:variant>
        <vt:i4>5</vt:i4>
      </vt:variant>
      <vt:variant>
        <vt:lpwstr/>
      </vt:variant>
      <vt:variant>
        <vt:lpwstr>_Toc71812910</vt:lpwstr>
      </vt:variant>
      <vt:variant>
        <vt:i4>1507389</vt:i4>
      </vt:variant>
      <vt:variant>
        <vt:i4>545</vt:i4>
      </vt:variant>
      <vt:variant>
        <vt:i4>0</vt:i4>
      </vt:variant>
      <vt:variant>
        <vt:i4>5</vt:i4>
      </vt:variant>
      <vt:variant>
        <vt:lpwstr/>
      </vt:variant>
      <vt:variant>
        <vt:lpwstr>_Toc71812909</vt:lpwstr>
      </vt:variant>
      <vt:variant>
        <vt:i4>1441853</vt:i4>
      </vt:variant>
      <vt:variant>
        <vt:i4>539</vt:i4>
      </vt:variant>
      <vt:variant>
        <vt:i4>0</vt:i4>
      </vt:variant>
      <vt:variant>
        <vt:i4>5</vt:i4>
      </vt:variant>
      <vt:variant>
        <vt:lpwstr/>
      </vt:variant>
      <vt:variant>
        <vt:lpwstr>_Toc71812908</vt:lpwstr>
      </vt:variant>
      <vt:variant>
        <vt:i4>1638461</vt:i4>
      </vt:variant>
      <vt:variant>
        <vt:i4>533</vt:i4>
      </vt:variant>
      <vt:variant>
        <vt:i4>0</vt:i4>
      </vt:variant>
      <vt:variant>
        <vt:i4>5</vt:i4>
      </vt:variant>
      <vt:variant>
        <vt:lpwstr/>
      </vt:variant>
      <vt:variant>
        <vt:lpwstr>_Toc71812907</vt:lpwstr>
      </vt:variant>
      <vt:variant>
        <vt:i4>1572925</vt:i4>
      </vt:variant>
      <vt:variant>
        <vt:i4>527</vt:i4>
      </vt:variant>
      <vt:variant>
        <vt:i4>0</vt:i4>
      </vt:variant>
      <vt:variant>
        <vt:i4>5</vt:i4>
      </vt:variant>
      <vt:variant>
        <vt:lpwstr/>
      </vt:variant>
      <vt:variant>
        <vt:lpwstr>_Toc71812906</vt:lpwstr>
      </vt:variant>
      <vt:variant>
        <vt:i4>1769533</vt:i4>
      </vt:variant>
      <vt:variant>
        <vt:i4>521</vt:i4>
      </vt:variant>
      <vt:variant>
        <vt:i4>0</vt:i4>
      </vt:variant>
      <vt:variant>
        <vt:i4>5</vt:i4>
      </vt:variant>
      <vt:variant>
        <vt:lpwstr/>
      </vt:variant>
      <vt:variant>
        <vt:lpwstr>_Toc71812905</vt:lpwstr>
      </vt:variant>
      <vt:variant>
        <vt:i4>1703997</vt:i4>
      </vt:variant>
      <vt:variant>
        <vt:i4>515</vt:i4>
      </vt:variant>
      <vt:variant>
        <vt:i4>0</vt:i4>
      </vt:variant>
      <vt:variant>
        <vt:i4>5</vt:i4>
      </vt:variant>
      <vt:variant>
        <vt:lpwstr/>
      </vt:variant>
      <vt:variant>
        <vt:lpwstr>_Toc71812904</vt:lpwstr>
      </vt:variant>
      <vt:variant>
        <vt:i4>1900605</vt:i4>
      </vt:variant>
      <vt:variant>
        <vt:i4>509</vt:i4>
      </vt:variant>
      <vt:variant>
        <vt:i4>0</vt:i4>
      </vt:variant>
      <vt:variant>
        <vt:i4>5</vt:i4>
      </vt:variant>
      <vt:variant>
        <vt:lpwstr/>
      </vt:variant>
      <vt:variant>
        <vt:lpwstr>_Toc71812903</vt:lpwstr>
      </vt:variant>
      <vt:variant>
        <vt:i4>1835069</vt:i4>
      </vt:variant>
      <vt:variant>
        <vt:i4>503</vt:i4>
      </vt:variant>
      <vt:variant>
        <vt:i4>0</vt:i4>
      </vt:variant>
      <vt:variant>
        <vt:i4>5</vt:i4>
      </vt:variant>
      <vt:variant>
        <vt:lpwstr/>
      </vt:variant>
      <vt:variant>
        <vt:lpwstr>_Toc71812902</vt:lpwstr>
      </vt:variant>
      <vt:variant>
        <vt:i4>2031677</vt:i4>
      </vt:variant>
      <vt:variant>
        <vt:i4>497</vt:i4>
      </vt:variant>
      <vt:variant>
        <vt:i4>0</vt:i4>
      </vt:variant>
      <vt:variant>
        <vt:i4>5</vt:i4>
      </vt:variant>
      <vt:variant>
        <vt:lpwstr/>
      </vt:variant>
      <vt:variant>
        <vt:lpwstr>_Toc71812901</vt:lpwstr>
      </vt:variant>
      <vt:variant>
        <vt:i4>1966141</vt:i4>
      </vt:variant>
      <vt:variant>
        <vt:i4>491</vt:i4>
      </vt:variant>
      <vt:variant>
        <vt:i4>0</vt:i4>
      </vt:variant>
      <vt:variant>
        <vt:i4>5</vt:i4>
      </vt:variant>
      <vt:variant>
        <vt:lpwstr/>
      </vt:variant>
      <vt:variant>
        <vt:lpwstr>_Toc71812900</vt:lpwstr>
      </vt:variant>
      <vt:variant>
        <vt:i4>1441844</vt:i4>
      </vt:variant>
      <vt:variant>
        <vt:i4>485</vt:i4>
      </vt:variant>
      <vt:variant>
        <vt:i4>0</vt:i4>
      </vt:variant>
      <vt:variant>
        <vt:i4>5</vt:i4>
      </vt:variant>
      <vt:variant>
        <vt:lpwstr/>
      </vt:variant>
      <vt:variant>
        <vt:lpwstr>_Toc71812899</vt:lpwstr>
      </vt:variant>
      <vt:variant>
        <vt:i4>1507380</vt:i4>
      </vt:variant>
      <vt:variant>
        <vt:i4>479</vt:i4>
      </vt:variant>
      <vt:variant>
        <vt:i4>0</vt:i4>
      </vt:variant>
      <vt:variant>
        <vt:i4>5</vt:i4>
      </vt:variant>
      <vt:variant>
        <vt:lpwstr/>
      </vt:variant>
      <vt:variant>
        <vt:lpwstr>_Toc71812898</vt:lpwstr>
      </vt:variant>
      <vt:variant>
        <vt:i4>1572916</vt:i4>
      </vt:variant>
      <vt:variant>
        <vt:i4>473</vt:i4>
      </vt:variant>
      <vt:variant>
        <vt:i4>0</vt:i4>
      </vt:variant>
      <vt:variant>
        <vt:i4>5</vt:i4>
      </vt:variant>
      <vt:variant>
        <vt:lpwstr/>
      </vt:variant>
      <vt:variant>
        <vt:lpwstr>_Toc71812897</vt:lpwstr>
      </vt:variant>
      <vt:variant>
        <vt:i4>1638452</vt:i4>
      </vt:variant>
      <vt:variant>
        <vt:i4>467</vt:i4>
      </vt:variant>
      <vt:variant>
        <vt:i4>0</vt:i4>
      </vt:variant>
      <vt:variant>
        <vt:i4>5</vt:i4>
      </vt:variant>
      <vt:variant>
        <vt:lpwstr/>
      </vt:variant>
      <vt:variant>
        <vt:lpwstr>_Toc71812896</vt:lpwstr>
      </vt:variant>
      <vt:variant>
        <vt:i4>1703988</vt:i4>
      </vt:variant>
      <vt:variant>
        <vt:i4>461</vt:i4>
      </vt:variant>
      <vt:variant>
        <vt:i4>0</vt:i4>
      </vt:variant>
      <vt:variant>
        <vt:i4>5</vt:i4>
      </vt:variant>
      <vt:variant>
        <vt:lpwstr/>
      </vt:variant>
      <vt:variant>
        <vt:lpwstr>_Toc71812895</vt:lpwstr>
      </vt:variant>
      <vt:variant>
        <vt:i4>1769524</vt:i4>
      </vt:variant>
      <vt:variant>
        <vt:i4>455</vt:i4>
      </vt:variant>
      <vt:variant>
        <vt:i4>0</vt:i4>
      </vt:variant>
      <vt:variant>
        <vt:i4>5</vt:i4>
      </vt:variant>
      <vt:variant>
        <vt:lpwstr/>
      </vt:variant>
      <vt:variant>
        <vt:lpwstr>_Toc71812894</vt:lpwstr>
      </vt:variant>
      <vt:variant>
        <vt:i4>1835060</vt:i4>
      </vt:variant>
      <vt:variant>
        <vt:i4>449</vt:i4>
      </vt:variant>
      <vt:variant>
        <vt:i4>0</vt:i4>
      </vt:variant>
      <vt:variant>
        <vt:i4>5</vt:i4>
      </vt:variant>
      <vt:variant>
        <vt:lpwstr/>
      </vt:variant>
      <vt:variant>
        <vt:lpwstr>_Toc71812893</vt:lpwstr>
      </vt:variant>
      <vt:variant>
        <vt:i4>1900596</vt:i4>
      </vt:variant>
      <vt:variant>
        <vt:i4>443</vt:i4>
      </vt:variant>
      <vt:variant>
        <vt:i4>0</vt:i4>
      </vt:variant>
      <vt:variant>
        <vt:i4>5</vt:i4>
      </vt:variant>
      <vt:variant>
        <vt:lpwstr/>
      </vt:variant>
      <vt:variant>
        <vt:lpwstr>_Toc71812892</vt:lpwstr>
      </vt:variant>
      <vt:variant>
        <vt:i4>1966132</vt:i4>
      </vt:variant>
      <vt:variant>
        <vt:i4>437</vt:i4>
      </vt:variant>
      <vt:variant>
        <vt:i4>0</vt:i4>
      </vt:variant>
      <vt:variant>
        <vt:i4>5</vt:i4>
      </vt:variant>
      <vt:variant>
        <vt:lpwstr/>
      </vt:variant>
      <vt:variant>
        <vt:lpwstr>_Toc71812891</vt:lpwstr>
      </vt:variant>
      <vt:variant>
        <vt:i4>2031668</vt:i4>
      </vt:variant>
      <vt:variant>
        <vt:i4>431</vt:i4>
      </vt:variant>
      <vt:variant>
        <vt:i4>0</vt:i4>
      </vt:variant>
      <vt:variant>
        <vt:i4>5</vt:i4>
      </vt:variant>
      <vt:variant>
        <vt:lpwstr/>
      </vt:variant>
      <vt:variant>
        <vt:lpwstr>_Toc71812890</vt:lpwstr>
      </vt:variant>
      <vt:variant>
        <vt:i4>1441845</vt:i4>
      </vt:variant>
      <vt:variant>
        <vt:i4>425</vt:i4>
      </vt:variant>
      <vt:variant>
        <vt:i4>0</vt:i4>
      </vt:variant>
      <vt:variant>
        <vt:i4>5</vt:i4>
      </vt:variant>
      <vt:variant>
        <vt:lpwstr/>
      </vt:variant>
      <vt:variant>
        <vt:lpwstr>_Toc71812889</vt:lpwstr>
      </vt:variant>
      <vt:variant>
        <vt:i4>1507381</vt:i4>
      </vt:variant>
      <vt:variant>
        <vt:i4>419</vt:i4>
      </vt:variant>
      <vt:variant>
        <vt:i4>0</vt:i4>
      </vt:variant>
      <vt:variant>
        <vt:i4>5</vt:i4>
      </vt:variant>
      <vt:variant>
        <vt:lpwstr/>
      </vt:variant>
      <vt:variant>
        <vt:lpwstr>_Toc71812888</vt:lpwstr>
      </vt:variant>
      <vt:variant>
        <vt:i4>1572917</vt:i4>
      </vt:variant>
      <vt:variant>
        <vt:i4>413</vt:i4>
      </vt:variant>
      <vt:variant>
        <vt:i4>0</vt:i4>
      </vt:variant>
      <vt:variant>
        <vt:i4>5</vt:i4>
      </vt:variant>
      <vt:variant>
        <vt:lpwstr/>
      </vt:variant>
      <vt:variant>
        <vt:lpwstr>_Toc71812887</vt:lpwstr>
      </vt:variant>
      <vt:variant>
        <vt:i4>1638453</vt:i4>
      </vt:variant>
      <vt:variant>
        <vt:i4>407</vt:i4>
      </vt:variant>
      <vt:variant>
        <vt:i4>0</vt:i4>
      </vt:variant>
      <vt:variant>
        <vt:i4>5</vt:i4>
      </vt:variant>
      <vt:variant>
        <vt:lpwstr/>
      </vt:variant>
      <vt:variant>
        <vt:lpwstr>_Toc71812886</vt:lpwstr>
      </vt:variant>
      <vt:variant>
        <vt:i4>1703989</vt:i4>
      </vt:variant>
      <vt:variant>
        <vt:i4>401</vt:i4>
      </vt:variant>
      <vt:variant>
        <vt:i4>0</vt:i4>
      </vt:variant>
      <vt:variant>
        <vt:i4>5</vt:i4>
      </vt:variant>
      <vt:variant>
        <vt:lpwstr/>
      </vt:variant>
      <vt:variant>
        <vt:lpwstr>_Toc71812885</vt:lpwstr>
      </vt:variant>
      <vt:variant>
        <vt:i4>1769525</vt:i4>
      </vt:variant>
      <vt:variant>
        <vt:i4>395</vt:i4>
      </vt:variant>
      <vt:variant>
        <vt:i4>0</vt:i4>
      </vt:variant>
      <vt:variant>
        <vt:i4>5</vt:i4>
      </vt:variant>
      <vt:variant>
        <vt:lpwstr/>
      </vt:variant>
      <vt:variant>
        <vt:lpwstr>_Toc71812884</vt:lpwstr>
      </vt:variant>
      <vt:variant>
        <vt:i4>1835061</vt:i4>
      </vt:variant>
      <vt:variant>
        <vt:i4>389</vt:i4>
      </vt:variant>
      <vt:variant>
        <vt:i4>0</vt:i4>
      </vt:variant>
      <vt:variant>
        <vt:i4>5</vt:i4>
      </vt:variant>
      <vt:variant>
        <vt:lpwstr/>
      </vt:variant>
      <vt:variant>
        <vt:lpwstr>_Toc71812883</vt:lpwstr>
      </vt:variant>
      <vt:variant>
        <vt:i4>1900597</vt:i4>
      </vt:variant>
      <vt:variant>
        <vt:i4>383</vt:i4>
      </vt:variant>
      <vt:variant>
        <vt:i4>0</vt:i4>
      </vt:variant>
      <vt:variant>
        <vt:i4>5</vt:i4>
      </vt:variant>
      <vt:variant>
        <vt:lpwstr/>
      </vt:variant>
      <vt:variant>
        <vt:lpwstr>_Toc71812882</vt:lpwstr>
      </vt:variant>
      <vt:variant>
        <vt:i4>1966133</vt:i4>
      </vt:variant>
      <vt:variant>
        <vt:i4>377</vt:i4>
      </vt:variant>
      <vt:variant>
        <vt:i4>0</vt:i4>
      </vt:variant>
      <vt:variant>
        <vt:i4>5</vt:i4>
      </vt:variant>
      <vt:variant>
        <vt:lpwstr/>
      </vt:variant>
      <vt:variant>
        <vt:lpwstr>_Toc71812881</vt:lpwstr>
      </vt:variant>
      <vt:variant>
        <vt:i4>2031669</vt:i4>
      </vt:variant>
      <vt:variant>
        <vt:i4>371</vt:i4>
      </vt:variant>
      <vt:variant>
        <vt:i4>0</vt:i4>
      </vt:variant>
      <vt:variant>
        <vt:i4>5</vt:i4>
      </vt:variant>
      <vt:variant>
        <vt:lpwstr/>
      </vt:variant>
      <vt:variant>
        <vt:lpwstr>_Toc71812880</vt:lpwstr>
      </vt:variant>
      <vt:variant>
        <vt:i4>1441850</vt:i4>
      </vt:variant>
      <vt:variant>
        <vt:i4>365</vt:i4>
      </vt:variant>
      <vt:variant>
        <vt:i4>0</vt:i4>
      </vt:variant>
      <vt:variant>
        <vt:i4>5</vt:i4>
      </vt:variant>
      <vt:variant>
        <vt:lpwstr/>
      </vt:variant>
      <vt:variant>
        <vt:lpwstr>_Toc71812879</vt:lpwstr>
      </vt:variant>
      <vt:variant>
        <vt:i4>1507386</vt:i4>
      </vt:variant>
      <vt:variant>
        <vt:i4>359</vt:i4>
      </vt:variant>
      <vt:variant>
        <vt:i4>0</vt:i4>
      </vt:variant>
      <vt:variant>
        <vt:i4>5</vt:i4>
      </vt:variant>
      <vt:variant>
        <vt:lpwstr/>
      </vt:variant>
      <vt:variant>
        <vt:lpwstr>_Toc71812878</vt:lpwstr>
      </vt:variant>
      <vt:variant>
        <vt:i4>1572922</vt:i4>
      </vt:variant>
      <vt:variant>
        <vt:i4>353</vt:i4>
      </vt:variant>
      <vt:variant>
        <vt:i4>0</vt:i4>
      </vt:variant>
      <vt:variant>
        <vt:i4>5</vt:i4>
      </vt:variant>
      <vt:variant>
        <vt:lpwstr/>
      </vt:variant>
      <vt:variant>
        <vt:lpwstr>_Toc71812877</vt:lpwstr>
      </vt:variant>
      <vt:variant>
        <vt:i4>1638458</vt:i4>
      </vt:variant>
      <vt:variant>
        <vt:i4>347</vt:i4>
      </vt:variant>
      <vt:variant>
        <vt:i4>0</vt:i4>
      </vt:variant>
      <vt:variant>
        <vt:i4>5</vt:i4>
      </vt:variant>
      <vt:variant>
        <vt:lpwstr/>
      </vt:variant>
      <vt:variant>
        <vt:lpwstr>_Toc71812876</vt:lpwstr>
      </vt:variant>
      <vt:variant>
        <vt:i4>1703994</vt:i4>
      </vt:variant>
      <vt:variant>
        <vt:i4>341</vt:i4>
      </vt:variant>
      <vt:variant>
        <vt:i4>0</vt:i4>
      </vt:variant>
      <vt:variant>
        <vt:i4>5</vt:i4>
      </vt:variant>
      <vt:variant>
        <vt:lpwstr/>
      </vt:variant>
      <vt:variant>
        <vt:lpwstr>_Toc71812875</vt:lpwstr>
      </vt:variant>
      <vt:variant>
        <vt:i4>1769530</vt:i4>
      </vt:variant>
      <vt:variant>
        <vt:i4>335</vt:i4>
      </vt:variant>
      <vt:variant>
        <vt:i4>0</vt:i4>
      </vt:variant>
      <vt:variant>
        <vt:i4>5</vt:i4>
      </vt:variant>
      <vt:variant>
        <vt:lpwstr/>
      </vt:variant>
      <vt:variant>
        <vt:lpwstr>_Toc71812874</vt:lpwstr>
      </vt:variant>
      <vt:variant>
        <vt:i4>1835066</vt:i4>
      </vt:variant>
      <vt:variant>
        <vt:i4>329</vt:i4>
      </vt:variant>
      <vt:variant>
        <vt:i4>0</vt:i4>
      </vt:variant>
      <vt:variant>
        <vt:i4>5</vt:i4>
      </vt:variant>
      <vt:variant>
        <vt:lpwstr/>
      </vt:variant>
      <vt:variant>
        <vt:lpwstr>_Toc71812873</vt:lpwstr>
      </vt:variant>
      <vt:variant>
        <vt:i4>1900602</vt:i4>
      </vt:variant>
      <vt:variant>
        <vt:i4>323</vt:i4>
      </vt:variant>
      <vt:variant>
        <vt:i4>0</vt:i4>
      </vt:variant>
      <vt:variant>
        <vt:i4>5</vt:i4>
      </vt:variant>
      <vt:variant>
        <vt:lpwstr/>
      </vt:variant>
      <vt:variant>
        <vt:lpwstr>_Toc71812872</vt:lpwstr>
      </vt:variant>
      <vt:variant>
        <vt:i4>1966138</vt:i4>
      </vt:variant>
      <vt:variant>
        <vt:i4>317</vt:i4>
      </vt:variant>
      <vt:variant>
        <vt:i4>0</vt:i4>
      </vt:variant>
      <vt:variant>
        <vt:i4>5</vt:i4>
      </vt:variant>
      <vt:variant>
        <vt:lpwstr/>
      </vt:variant>
      <vt:variant>
        <vt:lpwstr>_Toc71812871</vt:lpwstr>
      </vt:variant>
      <vt:variant>
        <vt:i4>2031674</vt:i4>
      </vt:variant>
      <vt:variant>
        <vt:i4>311</vt:i4>
      </vt:variant>
      <vt:variant>
        <vt:i4>0</vt:i4>
      </vt:variant>
      <vt:variant>
        <vt:i4>5</vt:i4>
      </vt:variant>
      <vt:variant>
        <vt:lpwstr/>
      </vt:variant>
      <vt:variant>
        <vt:lpwstr>_Toc71812870</vt:lpwstr>
      </vt:variant>
      <vt:variant>
        <vt:i4>1441851</vt:i4>
      </vt:variant>
      <vt:variant>
        <vt:i4>305</vt:i4>
      </vt:variant>
      <vt:variant>
        <vt:i4>0</vt:i4>
      </vt:variant>
      <vt:variant>
        <vt:i4>5</vt:i4>
      </vt:variant>
      <vt:variant>
        <vt:lpwstr/>
      </vt:variant>
      <vt:variant>
        <vt:lpwstr>_Toc71812869</vt:lpwstr>
      </vt:variant>
      <vt:variant>
        <vt:i4>1507387</vt:i4>
      </vt:variant>
      <vt:variant>
        <vt:i4>299</vt:i4>
      </vt:variant>
      <vt:variant>
        <vt:i4>0</vt:i4>
      </vt:variant>
      <vt:variant>
        <vt:i4>5</vt:i4>
      </vt:variant>
      <vt:variant>
        <vt:lpwstr/>
      </vt:variant>
      <vt:variant>
        <vt:lpwstr>_Toc71812868</vt:lpwstr>
      </vt:variant>
      <vt:variant>
        <vt:i4>1572923</vt:i4>
      </vt:variant>
      <vt:variant>
        <vt:i4>293</vt:i4>
      </vt:variant>
      <vt:variant>
        <vt:i4>0</vt:i4>
      </vt:variant>
      <vt:variant>
        <vt:i4>5</vt:i4>
      </vt:variant>
      <vt:variant>
        <vt:lpwstr/>
      </vt:variant>
      <vt:variant>
        <vt:lpwstr>_Toc71812867</vt:lpwstr>
      </vt:variant>
      <vt:variant>
        <vt:i4>1638459</vt:i4>
      </vt:variant>
      <vt:variant>
        <vt:i4>287</vt:i4>
      </vt:variant>
      <vt:variant>
        <vt:i4>0</vt:i4>
      </vt:variant>
      <vt:variant>
        <vt:i4>5</vt:i4>
      </vt:variant>
      <vt:variant>
        <vt:lpwstr/>
      </vt:variant>
      <vt:variant>
        <vt:lpwstr>_Toc71812866</vt:lpwstr>
      </vt:variant>
      <vt:variant>
        <vt:i4>1703995</vt:i4>
      </vt:variant>
      <vt:variant>
        <vt:i4>281</vt:i4>
      </vt:variant>
      <vt:variant>
        <vt:i4>0</vt:i4>
      </vt:variant>
      <vt:variant>
        <vt:i4>5</vt:i4>
      </vt:variant>
      <vt:variant>
        <vt:lpwstr/>
      </vt:variant>
      <vt:variant>
        <vt:lpwstr>_Toc71812865</vt:lpwstr>
      </vt:variant>
      <vt:variant>
        <vt:i4>1769531</vt:i4>
      </vt:variant>
      <vt:variant>
        <vt:i4>275</vt:i4>
      </vt:variant>
      <vt:variant>
        <vt:i4>0</vt:i4>
      </vt:variant>
      <vt:variant>
        <vt:i4>5</vt:i4>
      </vt:variant>
      <vt:variant>
        <vt:lpwstr/>
      </vt:variant>
      <vt:variant>
        <vt:lpwstr>_Toc71812864</vt:lpwstr>
      </vt:variant>
      <vt:variant>
        <vt:i4>1835067</vt:i4>
      </vt:variant>
      <vt:variant>
        <vt:i4>269</vt:i4>
      </vt:variant>
      <vt:variant>
        <vt:i4>0</vt:i4>
      </vt:variant>
      <vt:variant>
        <vt:i4>5</vt:i4>
      </vt:variant>
      <vt:variant>
        <vt:lpwstr/>
      </vt:variant>
      <vt:variant>
        <vt:lpwstr>_Toc71812863</vt:lpwstr>
      </vt:variant>
      <vt:variant>
        <vt:i4>1900603</vt:i4>
      </vt:variant>
      <vt:variant>
        <vt:i4>263</vt:i4>
      </vt:variant>
      <vt:variant>
        <vt:i4>0</vt:i4>
      </vt:variant>
      <vt:variant>
        <vt:i4>5</vt:i4>
      </vt:variant>
      <vt:variant>
        <vt:lpwstr/>
      </vt:variant>
      <vt:variant>
        <vt:lpwstr>_Toc71812862</vt:lpwstr>
      </vt:variant>
      <vt:variant>
        <vt:i4>1966139</vt:i4>
      </vt:variant>
      <vt:variant>
        <vt:i4>257</vt:i4>
      </vt:variant>
      <vt:variant>
        <vt:i4>0</vt:i4>
      </vt:variant>
      <vt:variant>
        <vt:i4>5</vt:i4>
      </vt:variant>
      <vt:variant>
        <vt:lpwstr/>
      </vt:variant>
      <vt:variant>
        <vt:lpwstr>_Toc71812861</vt:lpwstr>
      </vt:variant>
      <vt:variant>
        <vt:i4>2031675</vt:i4>
      </vt:variant>
      <vt:variant>
        <vt:i4>251</vt:i4>
      </vt:variant>
      <vt:variant>
        <vt:i4>0</vt:i4>
      </vt:variant>
      <vt:variant>
        <vt:i4>5</vt:i4>
      </vt:variant>
      <vt:variant>
        <vt:lpwstr/>
      </vt:variant>
      <vt:variant>
        <vt:lpwstr>_Toc71812860</vt:lpwstr>
      </vt:variant>
      <vt:variant>
        <vt:i4>1441848</vt:i4>
      </vt:variant>
      <vt:variant>
        <vt:i4>245</vt:i4>
      </vt:variant>
      <vt:variant>
        <vt:i4>0</vt:i4>
      </vt:variant>
      <vt:variant>
        <vt:i4>5</vt:i4>
      </vt:variant>
      <vt:variant>
        <vt:lpwstr/>
      </vt:variant>
      <vt:variant>
        <vt:lpwstr>_Toc71812859</vt:lpwstr>
      </vt:variant>
      <vt:variant>
        <vt:i4>1507384</vt:i4>
      </vt:variant>
      <vt:variant>
        <vt:i4>239</vt:i4>
      </vt:variant>
      <vt:variant>
        <vt:i4>0</vt:i4>
      </vt:variant>
      <vt:variant>
        <vt:i4>5</vt:i4>
      </vt:variant>
      <vt:variant>
        <vt:lpwstr/>
      </vt:variant>
      <vt:variant>
        <vt:lpwstr>_Toc71812858</vt:lpwstr>
      </vt:variant>
      <vt:variant>
        <vt:i4>1572920</vt:i4>
      </vt:variant>
      <vt:variant>
        <vt:i4>233</vt:i4>
      </vt:variant>
      <vt:variant>
        <vt:i4>0</vt:i4>
      </vt:variant>
      <vt:variant>
        <vt:i4>5</vt:i4>
      </vt:variant>
      <vt:variant>
        <vt:lpwstr/>
      </vt:variant>
      <vt:variant>
        <vt:lpwstr>_Toc71812857</vt:lpwstr>
      </vt:variant>
      <vt:variant>
        <vt:i4>1638456</vt:i4>
      </vt:variant>
      <vt:variant>
        <vt:i4>227</vt:i4>
      </vt:variant>
      <vt:variant>
        <vt:i4>0</vt:i4>
      </vt:variant>
      <vt:variant>
        <vt:i4>5</vt:i4>
      </vt:variant>
      <vt:variant>
        <vt:lpwstr/>
      </vt:variant>
      <vt:variant>
        <vt:lpwstr>_Toc71812856</vt:lpwstr>
      </vt:variant>
      <vt:variant>
        <vt:i4>1703992</vt:i4>
      </vt:variant>
      <vt:variant>
        <vt:i4>221</vt:i4>
      </vt:variant>
      <vt:variant>
        <vt:i4>0</vt:i4>
      </vt:variant>
      <vt:variant>
        <vt:i4>5</vt:i4>
      </vt:variant>
      <vt:variant>
        <vt:lpwstr/>
      </vt:variant>
      <vt:variant>
        <vt:lpwstr>_Toc71812855</vt:lpwstr>
      </vt:variant>
      <vt:variant>
        <vt:i4>1769528</vt:i4>
      </vt:variant>
      <vt:variant>
        <vt:i4>215</vt:i4>
      </vt:variant>
      <vt:variant>
        <vt:i4>0</vt:i4>
      </vt:variant>
      <vt:variant>
        <vt:i4>5</vt:i4>
      </vt:variant>
      <vt:variant>
        <vt:lpwstr/>
      </vt:variant>
      <vt:variant>
        <vt:lpwstr>_Toc71812854</vt:lpwstr>
      </vt:variant>
      <vt:variant>
        <vt:i4>1835064</vt:i4>
      </vt:variant>
      <vt:variant>
        <vt:i4>209</vt:i4>
      </vt:variant>
      <vt:variant>
        <vt:i4>0</vt:i4>
      </vt:variant>
      <vt:variant>
        <vt:i4>5</vt:i4>
      </vt:variant>
      <vt:variant>
        <vt:lpwstr/>
      </vt:variant>
      <vt:variant>
        <vt:lpwstr>_Toc71812853</vt:lpwstr>
      </vt:variant>
      <vt:variant>
        <vt:i4>1900600</vt:i4>
      </vt:variant>
      <vt:variant>
        <vt:i4>203</vt:i4>
      </vt:variant>
      <vt:variant>
        <vt:i4>0</vt:i4>
      </vt:variant>
      <vt:variant>
        <vt:i4>5</vt:i4>
      </vt:variant>
      <vt:variant>
        <vt:lpwstr/>
      </vt:variant>
      <vt:variant>
        <vt:lpwstr>_Toc71812852</vt:lpwstr>
      </vt:variant>
      <vt:variant>
        <vt:i4>1966136</vt:i4>
      </vt:variant>
      <vt:variant>
        <vt:i4>197</vt:i4>
      </vt:variant>
      <vt:variant>
        <vt:i4>0</vt:i4>
      </vt:variant>
      <vt:variant>
        <vt:i4>5</vt:i4>
      </vt:variant>
      <vt:variant>
        <vt:lpwstr/>
      </vt:variant>
      <vt:variant>
        <vt:lpwstr>_Toc71812851</vt:lpwstr>
      </vt:variant>
      <vt:variant>
        <vt:i4>2031672</vt:i4>
      </vt:variant>
      <vt:variant>
        <vt:i4>191</vt:i4>
      </vt:variant>
      <vt:variant>
        <vt:i4>0</vt:i4>
      </vt:variant>
      <vt:variant>
        <vt:i4>5</vt:i4>
      </vt:variant>
      <vt:variant>
        <vt:lpwstr/>
      </vt:variant>
      <vt:variant>
        <vt:lpwstr>_Toc71812850</vt:lpwstr>
      </vt:variant>
      <vt:variant>
        <vt:i4>1441849</vt:i4>
      </vt:variant>
      <vt:variant>
        <vt:i4>185</vt:i4>
      </vt:variant>
      <vt:variant>
        <vt:i4>0</vt:i4>
      </vt:variant>
      <vt:variant>
        <vt:i4>5</vt:i4>
      </vt:variant>
      <vt:variant>
        <vt:lpwstr/>
      </vt:variant>
      <vt:variant>
        <vt:lpwstr>_Toc71812849</vt:lpwstr>
      </vt:variant>
      <vt:variant>
        <vt:i4>1507385</vt:i4>
      </vt:variant>
      <vt:variant>
        <vt:i4>179</vt:i4>
      </vt:variant>
      <vt:variant>
        <vt:i4>0</vt:i4>
      </vt:variant>
      <vt:variant>
        <vt:i4>5</vt:i4>
      </vt:variant>
      <vt:variant>
        <vt:lpwstr/>
      </vt:variant>
      <vt:variant>
        <vt:lpwstr>_Toc71812848</vt:lpwstr>
      </vt:variant>
      <vt:variant>
        <vt:i4>1572921</vt:i4>
      </vt:variant>
      <vt:variant>
        <vt:i4>173</vt:i4>
      </vt:variant>
      <vt:variant>
        <vt:i4>0</vt:i4>
      </vt:variant>
      <vt:variant>
        <vt:i4>5</vt:i4>
      </vt:variant>
      <vt:variant>
        <vt:lpwstr/>
      </vt:variant>
      <vt:variant>
        <vt:lpwstr>_Toc71812847</vt:lpwstr>
      </vt:variant>
      <vt:variant>
        <vt:i4>1638457</vt:i4>
      </vt:variant>
      <vt:variant>
        <vt:i4>167</vt:i4>
      </vt:variant>
      <vt:variant>
        <vt:i4>0</vt:i4>
      </vt:variant>
      <vt:variant>
        <vt:i4>5</vt:i4>
      </vt:variant>
      <vt:variant>
        <vt:lpwstr/>
      </vt:variant>
      <vt:variant>
        <vt:lpwstr>_Toc71812846</vt:lpwstr>
      </vt:variant>
      <vt:variant>
        <vt:i4>1703993</vt:i4>
      </vt:variant>
      <vt:variant>
        <vt:i4>161</vt:i4>
      </vt:variant>
      <vt:variant>
        <vt:i4>0</vt:i4>
      </vt:variant>
      <vt:variant>
        <vt:i4>5</vt:i4>
      </vt:variant>
      <vt:variant>
        <vt:lpwstr/>
      </vt:variant>
      <vt:variant>
        <vt:lpwstr>_Toc71812845</vt:lpwstr>
      </vt:variant>
      <vt:variant>
        <vt:i4>1769529</vt:i4>
      </vt:variant>
      <vt:variant>
        <vt:i4>155</vt:i4>
      </vt:variant>
      <vt:variant>
        <vt:i4>0</vt:i4>
      </vt:variant>
      <vt:variant>
        <vt:i4>5</vt:i4>
      </vt:variant>
      <vt:variant>
        <vt:lpwstr/>
      </vt:variant>
      <vt:variant>
        <vt:lpwstr>_Toc71812844</vt:lpwstr>
      </vt:variant>
      <vt:variant>
        <vt:i4>1835065</vt:i4>
      </vt:variant>
      <vt:variant>
        <vt:i4>149</vt:i4>
      </vt:variant>
      <vt:variant>
        <vt:i4>0</vt:i4>
      </vt:variant>
      <vt:variant>
        <vt:i4>5</vt:i4>
      </vt:variant>
      <vt:variant>
        <vt:lpwstr/>
      </vt:variant>
      <vt:variant>
        <vt:lpwstr>_Toc71812843</vt:lpwstr>
      </vt:variant>
      <vt:variant>
        <vt:i4>1900601</vt:i4>
      </vt:variant>
      <vt:variant>
        <vt:i4>143</vt:i4>
      </vt:variant>
      <vt:variant>
        <vt:i4>0</vt:i4>
      </vt:variant>
      <vt:variant>
        <vt:i4>5</vt:i4>
      </vt:variant>
      <vt:variant>
        <vt:lpwstr/>
      </vt:variant>
      <vt:variant>
        <vt:lpwstr>_Toc71812842</vt:lpwstr>
      </vt:variant>
      <vt:variant>
        <vt:i4>1966137</vt:i4>
      </vt:variant>
      <vt:variant>
        <vt:i4>137</vt:i4>
      </vt:variant>
      <vt:variant>
        <vt:i4>0</vt:i4>
      </vt:variant>
      <vt:variant>
        <vt:i4>5</vt:i4>
      </vt:variant>
      <vt:variant>
        <vt:lpwstr/>
      </vt:variant>
      <vt:variant>
        <vt:lpwstr>_Toc71812841</vt:lpwstr>
      </vt:variant>
      <vt:variant>
        <vt:i4>2031673</vt:i4>
      </vt:variant>
      <vt:variant>
        <vt:i4>131</vt:i4>
      </vt:variant>
      <vt:variant>
        <vt:i4>0</vt:i4>
      </vt:variant>
      <vt:variant>
        <vt:i4>5</vt:i4>
      </vt:variant>
      <vt:variant>
        <vt:lpwstr/>
      </vt:variant>
      <vt:variant>
        <vt:lpwstr>_Toc71812840</vt:lpwstr>
      </vt:variant>
      <vt:variant>
        <vt:i4>1441854</vt:i4>
      </vt:variant>
      <vt:variant>
        <vt:i4>125</vt:i4>
      </vt:variant>
      <vt:variant>
        <vt:i4>0</vt:i4>
      </vt:variant>
      <vt:variant>
        <vt:i4>5</vt:i4>
      </vt:variant>
      <vt:variant>
        <vt:lpwstr/>
      </vt:variant>
      <vt:variant>
        <vt:lpwstr>_Toc71812839</vt:lpwstr>
      </vt:variant>
      <vt:variant>
        <vt:i4>1507390</vt:i4>
      </vt:variant>
      <vt:variant>
        <vt:i4>119</vt:i4>
      </vt:variant>
      <vt:variant>
        <vt:i4>0</vt:i4>
      </vt:variant>
      <vt:variant>
        <vt:i4>5</vt:i4>
      </vt:variant>
      <vt:variant>
        <vt:lpwstr/>
      </vt:variant>
      <vt:variant>
        <vt:lpwstr>_Toc71812838</vt:lpwstr>
      </vt:variant>
      <vt:variant>
        <vt:i4>1572926</vt:i4>
      </vt:variant>
      <vt:variant>
        <vt:i4>113</vt:i4>
      </vt:variant>
      <vt:variant>
        <vt:i4>0</vt:i4>
      </vt:variant>
      <vt:variant>
        <vt:i4>5</vt:i4>
      </vt:variant>
      <vt:variant>
        <vt:lpwstr/>
      </vt:variant>
      <vt:variant>
        <vt:lpwstr>_Toc71812837</vt:lpwstr>
      </vt:variant>
      <vt:variant>
        <vt:i4>1638462</vt:i4>
      </vt:variant>
      <vt:variant>
        <vt:i4>107</vt:i4>
      </vt:variant>
      <vt:variant>
        <vt:i4>0</vt:i4>
      </vt:variant>
      <vt:variant>
        <vt:i4>5</vt:i4>
      </vt:variant>
      <vt:variant>
        <vt:lpwstr/>
      </vt:variant>
      <vt:variant>
        <vt:lpwstr>_Toc71812836</vt:lpwstr>
      </vt:variant>
      <vt:variant>
        <vt:i4>1703998</vt:i4>
      </vt:variant>
      <vt:variant>
        <vt:i4>101</vt:i4>
      </vt:variant>
      <vt:variant>
        <vt:i4>0</vt:i4>
      </vt:variant>
      <vt:variant>
        <vt:i4>5</vt:i4>
      </vt:variant>
      <vt:variant>
        <vt:lpwstr/>
      </vt:variant>
      <vt:variant>
        <vt:lpwstr>_Toc71812835</vt:lpwstr>
      </vt:variant>
      <vt:variant>
        <vt:i4>1769534</vt:i4>
      </vt:variant>
      <vt:variant>
        <vt:i4>95</vt:i4>
      </vt:variant>
      <vt:variant>
        <vt:i4>0</vt:i4>
      </vt:variant>
      <vt:variant>
        <vt:i4>5</vt:i4>
      </vt:variant>
      <vt:variant>
        <vt:lpwstr/>
      </vt:variant>
      <vt:variant>
        <vt:lpwstr>_Toc71812834</vt:lpwstr>
      </vt:variant>
      <vt:variant>
        <vt:i4>1835070</vt:i4>
      </vt:variant>
      <vt:variant>
        <vt:i4>89</vt:i4>
      </vt:variant>
      <vt:variant>
        <vt:i4>0</vt:i4>
      </vt:variant>
      <vt:variant>
        <vt:i4>5</vt:i4>
      </vt:variant>
      <vt:variant>
        <vt:lpwstr/>
      </vt:variant>
      <vt:variant>
        <vt:lpwstr>_Toc71812833</vt:lpwstr>
      </vt:variant>
      <vt:variant>
        <vt:i4>1900606</vt:i4>
      </vt:variant>
      <vt:variant>
        <vt:i4>83</vt:i4>
      </vt:variant>
      <vt:variant>
        <vt:i4>0</vt:i4>
      </vt:variant>
      <vt:variant>
        <vt:i4>5</vt:i4>
      </vt:variant>
      <vt:variant>
        <vt:lpwstr/>
      </vt:variant>
      <vt:variant>
        <vt:lpwstr>_Toc71812832</vt:lpwstr>
      </vt:variant>
      <vt:variant>
        <vt:i4>1966142</vt:i4>
      </vt:variant>
      <vt:variant>
        <vt:i4>77</vt:i4>
      </vt:variant>
      <vt:variant>
        <vt:i4>0</vt:i4>
      </vt:variant>
      <vt:variant>
        <vt:i4>5</vt:i4>
      </vt:variant>
      <vt:variant>
        <vt:lpwstr/>
      </vt:variant>
      <vt:variant>
        <vt:lpwstr>_Toc71812831</vt:lpwstr>
      </vt:variant>
      <vt:variant>
        <vt:i4>2031678</vt:i4>
      </vt:variant>
      <vt:variant>
        <vt:i4>71</vt:i4>
      </vt:variant>
      <vt:variant>
        <vt:i4>0</vt:i4>
      </vt:variant>
      <vt:variant>
        <vt:i4>5</vt:i4>
      </vt:variant>
      <vt:variant>
        <vt:lpwstr/>
      </vt:variant>
      <vt:variant>
        <vt:lpwstr>_Toc71812830</vt:lpwstr>
      </vt:variant>
      <vt:variant>
        <vt:i4>1441855</vt:i4>
      </vt:variant>
      <vt:variant>
        <vt:i4>65</vt:i4>
      </vt:variant>
      <vt:variant>
        <vt:i4>0</vt:i4>
      </vt:variant>
      <vt:variant>
        <vt:i4>5</vt:i4>
      </vt:variant>
      <vt:variant>
        <vt:lpwstr/>
      </vt:variant>
      <vt:variant>
        <vt:lpwstr>_Toc71812829</vt:lpwstr>
      </vt:variant>
      <vt:variant>
        <vt:i4>1507391</vt:i4>
      </vt:variant>
      <vt:variant>
        <vt:i4>59</vt:i4>
      </vt:variant>
      <vt:variant>
        <vt:i4>0</vt:i4>
      </vt:variant>
      <vt:variant>
        <vt:i4>5</vt:i4>
      </vt:variant>
      <vt:variant>
        <vt:lpwstr/>
      </vt:variant>
      <vt:variant>
        <vt:lpwstr>_Toc71812828</vt:lpwstr>
      </vt:variant>
      <vt:variant>
        <vt:i4>1572927</vt:i4>
      </vt:variant>
      <vt:variant>
        <vt:i4>53</vt:i4>
      </vt:variant>
      <vt:variant>
        <vt:i4>0</vt:i4>
      </vt:variant>
      <vt:variant>
        <vt:i4>5</vt:i4>
      </vt:variant>
      <vt:variant>
        <vt:lpwstr/>
      </vt:variant>
      <vt:variant>
        <vt:lpwstr>_Toc71812827</vt:lpwstr>
      </vt:variant>
      <vt:variant>
        <vt:i4>1638463</vt:i4>
      </vt:variant>
      <vt:variant>
        <vt:i4>47</vt:i4>
      </vt:variant>
      <vt:variant>
        <vt:i4>0</vt:i4>
      </vt:variant>
      <vt:variant>
        <vt:i4>5</vt:i4>
      </vt:variant>
      <vt:variant>
        <vt:lpwstr/>
      </vt:variant>
      <vt:variant>
        <vt:lpwstr>_Toc71812826</vt:lpwstr>
      </vt:variant>
      <vt:variant>
        <vt:i4>1703999</vt:i4>
      </vt:variant>
      <vt:variant>
        <vt:i4>41</vt:i4>
      </vt:variant>
      <vt:variant>
        <vt:i4>0</vt:i4>
      </vt:variant>
      <vt:variant>
        <vt:i4>5</vt:i4>
      </vt:variant>
      <vt:variant>
        <vt:lpwstr/>
      </vt:variant>
      <vt:variant>
        <vt:lpwstr>_Toc71812825</vt:lpwstr>
      </vt:variant>
      <vt:variant>
        <vt:i4>1769535</vt:i4>
      </vt:variant>
      <vt:variant>
        <vt:i4>35</vt:i4>
      </vt:variant>
      <vt:variant>
        <vt:i4>0</vt:i4>
      </vt:variant>
      <vt:variant>
        <vt:i4>5</vt:i4>
      </vt:variant>
      <vt:variant>
        <vt:lpwstr/>
      </vt:variant>
      <vt:variant>
        <vt:lpwstr>_Toc71812824</vt:lpwstr>
      </vt:variant>
      <vt:variant>
        <vt:i4>1835071</vt:i4>
      </vt:variant>
      <vt:variant>
        <vt:i4>29</vt:i4>
      </vt:variant>
      <vt:variant>
        <vt:i4>0</vt:i4>
      </vt:variant>
      <vt:variant>
        <vt:i4>5</vt:i4>
      </vt:variant>
      <vt:variant>
        <vt:lpwstr/>
      </vt:variant>
      <vt:variant>
        <vt:lpwstr>_Toc71812823</vt:lpwstr>
      </vt:variant>
      <vt:variant>
        <vt:i4>1900607</vt:i4>
      </vt:variant>
      <vt:variant>
        <vt:i4>23</vt:i4>
      </vt:variant>
      <vt:variant>
        <vt:i4>0</vt:i4>
      </vt:variant>
      <vt:variant>
        <vt:i4>5</vt:i4>
      </vt:variant>
      <vt:variant>
        <vt:lpwstr/>
      </vt:variant>
      <vt:variant>
        <vt:lpwstr>_Toc71812822</vt:lpwstr>
      </vt:variant>
      <vt:variant>
        <vt:i4>1966143</vt:i4>
      </vt:variant>
      <vt:variant>
        <vt:i4>17</vt:i4>
      </vt:variant>
      <vt:variant>
        <vt:i4>0</vt:i4>
      </vt:variant>
      <vt:variant>
        <vt:i4>5</vt:i4>
      </vt:variant>
      <vt:variant>
        <vt:lpwstr/>
      </vt:variant>
      <vt:variant>
        <vt:lpwstr>_Toc71812821</vt:lpwstr>
      </vt:variant>
      <vt:variant>
        <vt:i4>2031679</vt:i4>
      </vt:variant>
      <vt:variant>
        <vt:i4>11</vt:i4>
      </vt:variant>
      <vt:variant>
        <vt:i4>0</vt:i4>
      </vt:variant>
      <vt:variant>
        <vt:i4>5</vt:i4>
      </vt:variant>
      <vt:variant>
        <vt:lpwstr/>
      </vt:variant>
      <vt:variant>
        <vt:lpwstr>_Toc71812820</vt:lpwstr>
      </vt:variant>
      <vt:variant>
        <vt:i4>1441852</vt:i4>
      </vt:variant>
      <vt:variant>
        <vt:i4>5</vt:i4>
      </vt:variant>
      <vt:variant>
        <vt:i4>0</vt:i4>
      </vt:variant>
      <vt:variant>
        <vt:i4>5</vt:i4>
      </vt:variant>
      <vt:variant>
        <vt:lpwstr/>
      </vt:variant>
      <vt:variant>
        <vt:lpwstr>_Toc71812819</vt:lpwstr>
      </vt:variant>
      <vt:variant>
        <vt:i4>4915301</vt:i4>
      </vt:variant>
      <vt:variant>
        <vt:i4>0</vt:i4>
      </vt:variant>
      <vt:variant>
        <vt:i4>0</vt:i4>
      </vt:variant>
      <vt:variant>
        <vt:i4>5</vt:i4>
      </vt:variant>
      <vt:variant>
        <vt:lpwstr>mailto:n.fulop@ucl.ac.uk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Angus Ramsay</dc:creator>
  <cp:keywords/>
  <dc:description/>
  <cp:lastModifiedBy>Rachel Davies-Coleman</cp:lastModifiedBy>
  <cp:revision>61</cp:revision>
  <cp:lastPrinted>2021-11-15T16:52:00Z</cp:lastPrinted>
  <dcterms:created xsi:type="dcterms:W3CDTF">2021-12-20T13:56:00Z</dcterms:created>
  <dcterms:modified xsi:type="dcterms:W3CDTF">2021-12-21T17:09:00Z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0x010100D27735A7945DE046B624D4F84AA72205</vt:lpwstr>
  </property>
</Properties>
</file>